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7E280" w14:textId="5FB52821" w:rsidR="004321E4" w:rsidRPr="0087674B" w:rsidRDefault="004321E4" w:rsidP="004321E4">
      <w:pPr>
        <w:ind w:left="992" w:right="52"/>
        <w:jc w:val="right"/>
        <w:rPr>
          <w:rFonts w:ascii="Palatino Linotype" w:eastAsia="Palatino Linotype" w:hAnsi="Palatino Linotype" w:cs="Palatino Linotype"/>
          <w:sz w:val="17"/>
          <w:szCs w:val="17"/>
        </w:rPr>
      </w:pPr>
      <w:r>
        <w:rPr>
          <w:rFonts w:ascii="Palatino Linotype" w:eastAsia="Palatino Linotype" w:hAnsi="Palatino Linotype" w:cs="Palatino Linotype"/>
          <w:noProof/>
          <w:sz w:val="52"/>
        </w:rPr>
        <w:drawing>
          <wp:anchor distT="0" distB="0" distL="114300" distR="114300" simplePos="0" relativeHeight="251659264" behindDoc="0" locked="0" layoutInCell="1" allowOverlap="1" wp14:anchorId="356007C0" wp14:editId="4F4064D8">
            <wp:simplePos x="0" y="0"/>
            <wp:positionH relativeFrom="column">
              <wp:posOffset>246743</wp:posOffset>
            </wp:positionH>
            <wp:positionV relativeFrom="paragraph">
              <wp:posOffset>181</wp:posOffset>
            </wp:positionV>
            <wp:extent cx="977863" cy="864158"/>
            <wp:effectExtent l="0" t="0" r="635" b="0"/>
            <wp:wrapThrough wrapText="bothSides">
              <wp:wrapPolygon edited="0">
                <wp:start x="0" y="0"/>
                <wp:lineTo x="0" y="21282"/>
                <wp:lineTo x="21333" y="21282"/>
                <wp:lineTo x="21333" y="0"/>
                <wp:lineTo x="0" y="0"/>
              </wp:wrapPolygon>
            </wp:wrapThrough>
            <wp:docPr id="1108537993" name="Picture 1" descr="A black circle with white text and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83842" name="Picture 1" descr="A black circle with white text and tre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7863" cy="864158"/>
                    </a:xfrm>
                    <a:prstGeom prst="rect">
                      <a:avLst/>
                    </a:prstGeom>
                  </pic:spPr>
                </pic:pic>
              </a:graphicData>
            </a:graphic>
            <wp14:sizeRelH relativeFrom="page">
              <wp14:pctWidth>0</wp14:pctWidth>
            </wp14:sizeRelH>
            <wp14:sizeRelV relativeFrom="page">
              <wp14:pctHeight>0</wp14:pctHeight>
            </wp14:sizeRelV>
          </wp:anchor>
        </w:drawing>
      </w:r>
      <w:r>
        <w:rPr>
          <w:rFonts w:ascii="Palatino Linotype" w:eastAsia="Palatino Linotype" w:hAnsi="Palatino Linotype" w:cs="Palatino Linotype"/>
          <w:color w:val="0D2240"/>
          <w:sz w:val="17"/>
          <w:szCs w:val="17"/>
        </w:rPr>
        <w:t>Summer 20</w:t>
      </w:r>
      <w:r>
        <w:rPr>
          <w:rFonts w:ascii="Palatino Linotype" w:eastAsia="Palatino Linotype" w:hAnsi="Palatino Linotype" w:cs="Palatino Linotype"/>
          <w:color w:val="0D2240"/>
          <w:sz w:val="17"/>
          <w:szCs w:val="17"/>
        </w:rPr>
        <w:t xml:space="preserve">21 </w:t>
      </w:r>
      <w:r>
        <w:rPr>
          <w:rFonts w:ascii="Palatino Linotype" w:eastAsia="Palatino Linotype" w:hAnsi="Palatino Linotype" w:cs="Palatino Linotype"/>
          <w:color w:val="0D2240"/>
          <w:sz w:val="17"/>
          <w:szCs w:val="17"/>
        </w:rPr>
        <w:t xml:space="preserve">| </w:t>
      </w:r>
      <w:r w:rsidRPr="0087674B">
        <w:rPr>
          <w:rFonts w:ascii="Palatino Linotype" w:eastAsia="Palatino Linotype" w:hAnsi="Palatino Linotype" w:cs="Palatino Linotype"/>
          <w:color w:val="0D2240"/>
          <w:w w:val="90"/>
          <w:sz w:val="17"/>
          <w:szCs w:val="17"/>
        </w:rPr>
        <w:t>Number</w:t>
      </w:r>
      <w:r w:rsidRPr="0087674B">
        <w:rPr>
          <w:rFonts w:ascii="Palatino Linotype" w:eastAsia="Palatino Linotype" w:hAnsi="Palatino Linotype" w:cs="Palatino Linotype"/>
          <w:color w:val="0D2240"/>
          <w:sz w:val="17"/>
          <w:szCs w:val="17"/>
        </w:rPr>
        <w:t xml:space="preserve"> </w:t>
      </w:r>
      <w:r>
        <w:rPr>
          <w:rFonts w:ascii="Palatino Linotype" w:eastAsia="Palatino Linotype" w:hAnsi="Palatino Linotype" w:cs="Palatino Linotype"/>
          <w:color w:val="0D2240"/>
          <w:spacing w:val="-10"/>
          <w:w w:val="90"/>
          <w:sz w:val="17"/>
          <w:szCs w:val="17"/>
        </w:rPr>
        <w:t>1</w:t>
      </w:r>
    </w:p>
    <w:p w14:paraId="59B93658" w14:textId="77777777" w:rsidR="004321E4" w:rsidRPr="0087674B" w:rsidRDefault="004321E4" w:rsidP="004321E4">
      <w:pPr>
        <w:spacing w:before="15"/>
        <w:ind w:left="992" w:right="52"/>
        <w:jc w:val="right"/>
        <w:rPr>
          <w:rFonts w:ascii="Palatino Linotype" w:eastAsia="Palatino Linotype" w:hAnsi="Palatino Linotype" w:cs="Palatino Linotype"/>
          <w:sz w:val="17"/>
          <w:szCs w:val="17"/>
        </w:rPr>
      </w:pPr>
      <w:r w:rsidRPr="0087674B">
        <w:rPr>
          <w:rFonts w:ascii="Palatino Linotype" w:eastAsia="Palatino Linotype" w:hAnsi="Palatino Linotype" w:cs="Palatino Linotype"/>
          <w:color w:val="0D2240"/>
          <w:spacing w:val="-2"/>
          <w:sz w:val="17"/>
          <w:szCs w:val="17"/>
        </w:rPr>
        <w:t>biblicalcounseling.com/jbsc</w:t>
      </w:r>
    </w:p>
    <w:p w14:paraId="3166B2C0" w14:textId="77777777" w:rsidR="004321E4" w:rsidRDefault="004321E4" w:rsidP="004321E4">
      <w:pPr>
        <w:pStyle w:val="BodyText"/>
        <w:spacing w:before="196"/>
        <w:rPr>
          <w:rFonts w:ascii="Times New Roman"/>
          <w:sz w:val="64"/>
        </w:rPr>
      </w:pPr>
    </w:p>
    <w:p w14:paraId="4BE42EFD" w14:textId="77777777" w:rsidR="004321E4" w:rsidRDefault="004321E4" w:rsidP="004321E4">
      <w:pPr>
        <w:pStyle w:val="BodyText"/>
        <w:spacing w:before="196"/>
        <w:rPr>
          <w:rFonts w:ascii="Times New Roman"/>
          <w:sz w:val="64"/>
        </w:rPr>
      </w:pPr>
    </w:p>
    <w:p w14:paraId="0BEB8571" w14:textId="77777777" w:rsidR="004321E4" w:rsidRPr="00790C07" w:rsidRDefault="004321E4" w:rsidP="004321E4">
      <w:pPr>
        <w:pStyle w:val="BodyText"/>
        <w:spacing w:before="196"/>
        <w:jc w:val="center"/>
        <w:rPr>
          <w:rFonts w:ascii="Palatino Linotype" w:hAnsi="Palatino Linotype"/>
          <w:sz w:val="72"/>
          <w:szCs w:val="72"/>
        </w:rPr>
      </w:pPr>
      <w:r w:rsidRPr="00790C07">
        <w:rPr>
          <w:rFonts w:ascii="Palatino Linotype" w:hAnsi="Palatino Linotype"/>
          <w:sz w:val="72"/>
          <w:szCs w:val="72"/>
        </w:rPr>
        <w:t>ACBC COLLOQUIUM ESSAYS</w:t>
      </w:r>
    </w:p>
    <w:p w14:paraId="656AF83F" w14:textId="548BEF84" w:rsidR="004321E4" w:rsidRDefault="004321E4" w:rsidP="004321E4">
      <w:pPr>
        <w:pStyle w:val="BodyText"/>
        <w:spacing w:before="196"/>
        <w:jc w:val="center"/>
        <w:rPr>
          <w:rFonts w:ascii="Palatino Linotype" w:hAnsi="Palatino Linotype"/>
          <w:i/>
          <w:iCs/>
          <w:sz w:val="52"/>
          <w:szCs w:val="52"/>
        </w:rPr>
      </w:pPr>
      <w:r w:rsidRPr="00790C07">
        <w:rPr>
          <w:rFonts w:ascii="Palatino Linotype" w:hAnsi="Palatino Linotype"/>
          <w:i/>
          <w:iCs/>
          <w:sz w:val="52"/>
          <w:szCs w:val="52"/>
        </w:rPr>
        <w:t xml:space="preserve">Volume </w:t>
      </w:r>
      <w:r>
        <w:rPr>
          <w:rFonts w:ascii="Palatino Linotype" w:hAnsi="Palatino Linotype"/>
          <w:i/>
          <w:iCs/>
          <w:sz w:val="52"/>
          <w:szCs w:val="52"/>
        </w:rPr>
        <w:t>2</w:t>
      </w:r>
    </w:p>
    <w:p w14:paraId="53C26B91" w14:textId="77777777" w:rsidR="004321E4" w:rsidRDefault="004321E4" w:rsidP="004321E4">
      <w:pPr>
        <w:pStyle w:val="BodyText"/>
        <w:spacing w:before="196"/>
        <w:rPr>
          <w:rFonts w:ascii="Palatino Linotype" w:hAnsi="Palatino Linotype"/>
          <w:i/>
          <w:iCs/>
          <w:sz w:val="52"/>
          <w:szCs w:val="52"/>
        </w:rPr>
      </w:pPr>
    </w:p>
    <w:p w14:paraId="64A57BFB" w14:textId="77777777" w:rsidR="004321E4" w:rsidRPr="00790C07" w:rsidRDefault="004321E4" w:rsidP="004321E4">
      <w:pPr>
        <w:pStyle w:val="BodyText"/>
        <w:spacing w:before="196"/>
        <w:jc w:val="center"/>
        <w:rPr>
          <w:rFonts w:ascii="Palatino Linotype" w:hAnsi="Palatino Linotype"/>
          <w:sz w:val="48"/>
          <w:szCs w:val="48"/>
        </w:rPr>
      </w:pPr>
      <w:r w:rsidRPr="00790C07">
        <w:rPr>
          <w:rFonts w:ascii="Palatino Linotype" w:hAnsi="Palatino Linotype"/>
          <w:sz w:val="48"/>
          <w:szCs w:val="48"/>
        </w:rPr>
        <w:t>Advancing Scholarship for the Biblical Care of Souls within Higher Education</w:t>
      </w:r>
    </w:p>
    <w:p w14:paraId="3B923203" w14:textId="77777777" w:rsidR="004321E4" w:rsidRPr="00790C07" w:rsidRDefault="004321E4" w:rsidP="004321E4">
      <w:pPr>
        <w:pStyle w:val="BodyText"/>
        <w:spacing w:before="196"/>
        <w:ind w:left="720"/>
        <w:jc w:val="center"/>
        <w:rPr>
          <w:rFonts w:ascii="Palatino Linotype" w:hAnsi="Palatino Linotype"/>
          <w:sz w:val="72"/>
          <w:szCs w:val="72"/>
        </w:rPr>
      </w:pPr>
    </w:p>
    <w:p w14:paraId="72957128" w14:textId="77777777" w:rsidR="004321E4" w:rsidRDefault="004321E4" w:rsidP="004321E4"/>
    <w:p w14:paraId="6A230417" w14:textId="77777777" w:rsidR="004321E4" w:rsidRDefault="004321E4" w:rsidP="004321E4"/>
    <w:p w14:paraId="5C60CA3C" w14:textId="77777777" w:rsidR="004321E4" w:rsidRDefault="004321E4" w:rsidP="004321E4"/>
    <w:p w14:paraId="083B3E83" w14:textId="77777777" w:rsidR="004321E4" w:rsidRDefault="004321E4" w:rsidP="004321E4"/>
    <w:p w14:paraId="63D9CB7B" w14:textId="77777777" w:rsidR="004321E4" w:rsidRDefault="004321E4" w:rsidP="004321E4"/>
    <w:p w14:paraId="77069F07" w14:textId="77777777" w:rsidR="00201B86" w:rsidRDefault="00201B86"/>
    <w:p w14:paraId="220FAF7B" w14:textId="77777777" w:rsidR="004321E4" w:rsidRDefault="004321E4"/>
    <w:p w14:paraId="7830F4B8" w14:textId="77777777" w:rsidR="004321E4" w:rsidRDefault="004321E4"/>
    <w:p w14:paraId="0B09B1F1" w14:textId="77777777" w:rsidR="004321E4" w:rsidRDefault="004321E4"/>
    <w:p w14:paraId="1AEAF1CC" w14:textId="77777777" w:rsidR="004321E4" w:rsidRDefault="004321E4"/>
    <w:p w14:paraId="4D076472" w14:textId="77777777" w:rsidR="004321E4" w:rsidRDefault="004321E4"/>
    <w:p w14:paraId="73A1744E" w14:textId="77777777" w:rsidR="004321E4" w:rsidRDefault="004321E4"/>
    <w:p w14:paraId="25F4E00E" w14:textId="77777777" w:rsidR="004321E4" w:rsidRDefault="004321E4"/>
    <w:p w14:paraId="5D73482D" w14:textId="77777777" w:rsidR="004321E4" w:rsidRDefault="004321E4"/>
    <w:p w14:paraId="0D42A50D" w14:textId="77777777" w:rsidR="004321E4" w:rsidRDefault="004321E4"/>
    <w:p w14:paraId="57A1C97F" w14:textId="77777777" w:rsidR="004321E4" w:rsidRPr="004321E4" w:rsidRDefault="004321E4">
      <w:pPr>
        <w:rPr>
          <w:rFonts w:ascii="Palatino Linotype" w:hAnsi="Palatino Linotype"/>
          <w:b/>
          <w:bCs/>
          <w:sz w:val="28"/>
          <w:szCs w:val="28"/>
        </w:rPr>
      </w:pPr>
    </w:p>
    <w:p w14:paraId="67A735D8" w14:textId="77777777" w:rsidR="004321E4" w:rsidRPr="004321E4" w:rsidRDefault="004321E4">
      <w:pPr>
        <w:rPr>
          <w:rFonts w:ascii="Palatino Linotype" w:hAnsi="Palatino Linotype"/>
          <w:b/>
          <w:bCs/>
          <w:sz w:val="28"/>
          <w:szCs w:val="28"/>
        </w:rPr>
      </w:pPr>
    </w:p>
    <w:p w14:paraId="1B442D17" w14:textId="77777777" w:rsidR="004321E4" w:rsidRPr="004321E4" w:rsidRDefault="004321E4" w:rsidP="004321E4">
      <w:pPr>
        <w:rPr>
          <w:rFonts w:ascii="Palatino Linotype" w:hAnsi="Palatino Linotype"/>
          <w:b/>
          <w:bCs/>
          <w:sz w:val="28"/>
          <w:szCs w:val="28"/>
        </w:rPr>
      </w:pPr>
      <w:r w:rsidRPr="004321E4">
        <w:rPr>
          <w:rFonts w:ascii="Palatino Linotype" w:hAnsi="Palatino Linotype"/>
          <w:b/>
          <w:bCs/>
          <w:sz w:val="28"/>
          <w:szCs w:val="28"/>
        </w:rPr>
        <w:t>ARTICLES</w:t>
      </w:r>
    </w:p>
    <w:p w14:paraId="218289D9" w14:textId="77777777" w:rsidR="004321E4" w:rsidRPr="004321E4" w:rsidRDefault="004321E4" w:rsidP="004321E4">
      <w:pPr>
        <w:rPr>
          <w:rFonts w:ascii="Palatino Linotype" w:hAnsi="Palatino Linotype"/>
          <w:b/>
          <w:bCs/>
          <w:sz w:val="28"/>
          <w:szCs w:val="28"/>
        </w:rPr>
      </w:pPr>
    </w:p>
    <w:p w14:paraId="27EF100B" w14:textId="77777777" w:rsidR="004321E4" w:rsidRPr="004321E4" w:rsidRDefault="004321E4" w:rsidP="004321E4">
      <w:pPr>
        <w:rPr>
          <w:rFonts w:ascii="Palatino Linotype" w:hAnsi="Palatino Linotype"/>
          <w:b/>
          <w:bCs/>
          <w:sz w:val="28"/>
          <w:szCs w:val="28"/>
        </w:rPr>
      </w:pPr>
    </w:p>
    <w:p w14:paraId="1947310B" w14:textId="77777777" w:rsidR="004321E4" w:rsidRPr="004321E4" w:rsidRDefault="004321E4" w:rsidP="004321E4">
      <w:pPr>
        <w:rPr>
          <w:rFonts w:ascii="Palatino Linotype" w:hAnsi="Palatino Linotype"/>
          <w:b/>
          <w:bCs/>
          <w:sz w:val="28"/>
          <w:szCs w:val="28"/>
        </w:rPr>
      </w:pPr>
    </w:p>
    <w:p w14:paraId="757592D5" w14:textId="4EC1D1D8" w:rsidR="004321E4" w:rsidRPr="004321E4" w:rsidRDefault="004321E4" w:rsidP="004321E4">
      <w:pPr>
        <w:rPr>
          <w:rFonts w:ascii="Palatino Linotype" w:hAnsi="Palatino Linotype"/>
          <w:b/>
          <w:bCs/>
          <w:sz w:val="28"/>
          <w:szCs w:val="28"/>
        </w:rPr>
      </w:pPr>
      <w:r>
        <w:rPr>
          <w:rFonts w:ascii="Palatino Linotype" w:hAnsi="Palatino Linotype"/>
          <w:b/>
          <w:bCs/>
          <w:sz w:val="28"/>
          <w:szCs w:val="28"/>
        </w:rPr>
        <w:t xml:space="preserve">3 </w:t>
      </w:r>
      <w:r w:rsidRPr="004321E4">
        <w:rPr>
          <w:rFonts w:ascii="Palatino Linotype" w:hAnsi="Palatino Linotype"/>
          <w:b/>
          <w:bCs/>
          <w:sz w:val="28"/>
          <w:szCs w:val="28"/>
        </w:rPr>
        <w:t xml:space="preserve"> INTRODUCTION - T. Dale Johnson Jr., Ph.D.</w:t>
      </w:r>
    </w:p>
    <w:p w14:paraId="3A8EE10D" w14:textId="77777777" w:rsidR="004321E4" w:rsidRPr="004321E4" w:rsidRDefault="004321E4" w:rsidP="004321E4">
      <w:pPr>
        <w:rPr>
          <w:rFonts w:ascii="Palatino Linotype" w:hAnsi="Palatino Linotype"/>
          <w:b/>
          <w:bCs/>
          <w:sz w:val="28"/>
          <w:szCs w:val="28"/>
        </w:rPr>
      </w:pPr>
    </w:p>
    <w:p w14:paraId="165C8A50" w14:textId="77777777" w:rsidR="004321E4" w:rsidRPr="004321E4" w:rsidRDefault="004321E4" w:rsidP="004321E4">
      <w:pPr>
        <w:rPr>
          <w:rFonts w:ascii="Palatino Linotype" w:hAnsi="Palatino Linotype"/>
          <w:b/>
          <w:bCs/>
          <w:sz w:val="28"/>
          <w:szCs w:val="28"/>
        </w:rPr>
      </w:pPr>
    </w:p>
    <w:p w14:paraId="7732E9B0" w14:textId="77777777" w:rsidR="004321E4" w:rsidRPr="004321E4" w:rsidRDefault="004321E4" w:rsidP="004321E4">
      <w:pPr>
        <w:rPr>
          <w:rFonts w:ascii="Palatino Linotype" w:hAnsi="Palatino Linotype"/>
          <w:b/>
          <w:bCs/>
          <w:sz w:val="28"/>
          <w:szCs w:val="28"/>
        </w:rPr>
      </w:pPr>
    </w:p>
    <w:p w14:paraId="773C01D7" w14:textId="5692D4C0" w:rsidR="004321E4" w:rsidRPr="004321E4" w:rsidRDefault="004321E4" w:rsidP="004321E4">
      <w:pPr>
        <w:rPr>
          <w:rFonts w:ascii="Palatino Linotype" w:hAnsi="Palatino Linotype"/>
          <w:b/>
          <w:bCs/>
          <w:sz w:val="28"/>
          <w:szCs w:val="28"/>
        </w:rPr>
      </w:pPr>
      <w:r>
        <w:rPr>
          <w:rFonts w:ascii="Palatino Linotype" w:hAnsi="Palatino Linotype"/>
          <w:b/>
          <w:bCs/>
          <w:sz w:val="28"/>
          <w:szCs w:val="28"/>
        </w:rPr>
        <w:t xml:space="preserve">11 </w:t>
      </w:r>
      <w:r w:rsidRPr="004321E4">
        <w:rPr>
          <w:rFonts w:ascii="Palatino Linotype" w:hAnsi="Palatino Linotype"/>
          <w:b/>
          <w:bCs/>
          <w:sz w:val="28"/>
          <w:szCs w:val="28"/>
        </w:rPr>
        <w:t>THE MYTH OF PSYCHIATRIC ADVANCE - Robert Whitaker</w:t>
      </w:r>
    </w:p>
    <w:p w14:paraId="541F8D84" w14:textId="77777777" w:rsidR="004321E4" w:rsidRPr="004321E4" w:rsidRDefault="004321E4" w:rsidP="004321E4">
      <w:pPr>
        <w:rPr>
          <w:rFonts w:ascii="Palatino Linotype" w:hAnsi="Palatino Linotype"/>
          <w:b/>
          <w:bCs/>
          <w:sz w:val="28"/>
          <w:szCs w:val="28"/>
        </w:rPr>
      </w:pPr>
    </w:p>
    <w:p w14:paraId="5984D6E5" w14:textId="77777777" w:rsidR="004321E4" w:rsidRPr="004321E4" w:rsidRDefault="004321E4" w:rsidP="004321E4">
      <w:pPr>
        <w:rPr>
          <w:rFonts w:ascii="Palatino Linotype" w:hAnsi="Palatino Linotype"/>
          <w:b/>
          <w:bCs/>
          <w:sz w:val="28"/>
          <w:szCs w:val="28"/>
        </w:rPr>
      </w:pPr>
    </w:p>
    <w:p w14:paraId="5834F624" w14:textId="4251E59C" w:rsidR="004321E4" w:rsidRPr="004321E4" w:rsidRDefault="004321E4" w:rsidP="004321E4">
      <w:pPr>
        <w:rPr>
          <w:rFonts w:ascii="Palatino Linotype" w:hAnsi="Palatino Linotype"/>
          <w:b/>
          <w:bCs/>
          <w:sz w:val="28"/>
          <w:szCs w:val="28"/>
        </w:rPr>
      </w:pPr>
      <w:r>
        <w:rPr>
          <w:rFonts w:ascii="Palatino Linotype" w:hAnsi="Palatino Linotype"/>
          <w:b/>
          <w:bCs/>
          <w:sz w:val="28"/>
          <w:szCs w:val="28"/>
        </w:rPr>
        <w:t xml:space="preserve">31 </w:t>
      </w:r>
      <w:r w:rsidRPr="004321E4">
        <w:rPr>
          <w:rFonts w:ascii="Palatino Linotype" w:hAnsi="Palatino Linotype"/>
          <w:b/>
          <w:bCs/>
          <w:sz w:val="28"/>
          <w:szCs w:val="28"/>
        </w:rPr>
        <w:t>RESEARCH, NEUROSCIENCE, MODERN PSYCHOTHERAPIES, AND THE NOETIC EFFECTS OF THE FALL - Dr. Jenn Chen</w:t>
      </w:r>
    </w:p>
    <w:p w14:paraId="02D3B2F3" w14:textId="77777777" w:rsidR="004321E4" w:rsidRPr="004321E4" w:rsidRDefault="004321E4" w:rsidP="004321E4">
      <w:pPr>
        <w:rPr>
          <w:rFonts w:ascii="Palatino Linotype" w:hAnsi="Palatino Linotype"/>
          <w:b/>
          <w:bCs/>
          <w:sz w:val="28"/>
          <w:szCs w:val="28"/>
        </w:rPr>
      </w:pPr>
    </w:p>
    <w:p w14:paraId="0E84CF06" w14:textId="77777777" w:rsidR="004321E4" w:rsidRPr="004321E4" w:rsidRDefault="004321E4" w:rsidP="004321E4">
      <w:pPr>
        <w:rPr>
          <w:rFonts w:ascii="Palatino Linotype" w:hAnsi="Palatino Linotype"/>
          <w:b/>
          <w:bCs/>
          <w:sz w:val="28"/>
          <w:szCs w:val="28"/>
        </w:rPr>
      </w:pPr>
    </w:p>
    <w:p w14:paraId="1806DC3F" w14:textId="616CE58C" w:rsidR="004321E4" w:rsidRPr="004321E4" w:rsidRDefault="004321E4" w:rsidP="004321E4">
      <w:pPr>
        <w:rPr>
          <w:rFonts w:ascii="Palatino Linotype" w:hAnsi="Palatino Linotype"/>
          <w:b/>
          <w:bCs/>
          <w:sz w:val="28"/>
          <w:szCs w:val="28"/>
        </w:rPr>
      </w:pPr>
      <w:r>
        <w:rPr>
          <w:rFonts w:ascii="Palatino Linotype" w:hAnsi="Palatino Linotype"/>
          <w:b/>
          <w:bCs/>
          <w:sz w:val="28"/>
          <w:szCs w:val="28"/>
        </w:rPr>
        <w:t xml:space="preserve">54 </w:t>
      </w:r>
      <w:r w:rsidRPr="004321E4">
        <w:rPr>
          <w:rFonts w:ascii="Palatino Linotype" w:hAnsi="Palatino Linotype"/>
          <w:b/>
          <w:bCs/>
          <w:sz w:val="28"/>
          <w:szCs w:val="28"/>
        </w:rPr>
        <w:t>THE MYTH OF THE MEDICAL MODEL - Daniel Berger</w:t>
      </w:r>
    </w:p>
    <w:p w14:paraId="5A3C16CE" w14:textId="77777777" w:rsidR="004321E4" w:rsidRPr="004321E4" w:rsidRDefault="004321E4" w:rsidP="004321E4">
      <w:pPr>
        <w:rPr>
          <w:rFonts w:ascii="Palatino Linotype" w:hAnsi="Palatino Linotype"/>
          <w:b/>
          <w:bCs/>
          <w:sz w:val="28"/>
          <w:szCs w:val="28"/>
        </w:rPr>
      </w:pPr>
    </w:p>
    <w:p w14:paraId="4E43C656" w14:textId="77777777" w:rsidR="004321E4" w:rsidRPr="004321E4" w:rsidRDefault="004321E4" w:rsidP="004321E4">
      <w:pPr>
        <w:rPr>
          <w:rFonts w:ascii="Palatino Linotype" w:hAnsi="Palatino Linotype"/>
          <w:b/>
          <w:bCs/>
          <w:sz w:val="28"/>
          <w:szCs w:val="28"/>
        </w:rPr>
      </w:pPr>
    </w:p>
    <w:p w14:paraId="191CA17E" w14:textId="6A580EE5" w:rsidR="004321E4" w:rsidRPr="004321E4" w:rsidRDefault="004321E4" w:rsidP="004321E4">
      <w:pPr>
        <w:rPr>
          <w:rFonts w:ascii="Palatino Linotype" w:hAnsi="Palatino Linotype"/>
          <w:b/>
          <w:bCs/>
          <w:sz w:val="28"/>
          <w:szCs w:val="28"/>
        </w:rPr>
      </w:pPr>
      <w:r>
        <w:rPr>
          <w:rFonts w:ascii="Palatino Linotype" w:hAnsi="Palatino Linotype"/>
          <w:b/>
          <w:bCs/>
          <w:sz w:val="28"/>
          <w:szCs w:val="28"/>
        </w:rPr>
        <w:t xml:space="preserve">101 </w:t>
      </w:r>
      <w:r w:rsidRPr="004321E4">
        <w:rPr>
          <w:rFonts w:ascii="Palatino Linotype" w:hAnsi="Palatino Linotype"/>
          <w:b/>
          <w:bCs/>
          <w:sz w:val="28"/>
          <w:szCs w:val="28"/>
        </w:rPr>
        <w:t>PSYCHIATRIC MEDICATIONS, BRAIN CHEMICALS, AND THE</w:t>
      </w:r>
    </w:p>
    <w:p w14:paraId="12DA7F5F" w14:textId="7A6C26DA" w:rsidR="004321E4" w:rsidRDefault="004321E4" w:rsidP="004321E4">
      <w:pPr>
        <w:rPr>
          <w:rFonts w:ascii="Palatino Linotype" w:hAnsi="Palatino Linotype"/>
          <w:b/>
          <w:bCs/>
          <w:sz w:val="28"/>
          <w:szCs w:val="28"/>
        </w:rPr>
      </w:pPr>
      <w:r w:rsidRPr="004321E4">
        <w:rPr>
          <w:rFonts w:ascii="Palatino Linotype" w:hAnsi="Palatino Linotype"/>
          <w:b/>
          <w:bCs/>
          <w:sz w:val="28"/>
          <w:szCs w:val="28"/>
        </w:rPr>
        <w:t>SOUL: A Call for Clarity? - Lee C. Edmonds M.D.</w:t>
      </w:r>
    </w:p>
    <w:p w14:paraId="016BC575" w14:textId="77777777" w:rsidR="002F443B" w:rsidRDefault="002F443B" w:rsidP="004321E4">
      <w:pPr>
        <w:rPr>
          <w:rFonts w:ascii="Palatino Linotype" w:hAnsi="Palatino Linotype"/>
          <w:b/>
          <w:bCs/>
          <w:sz w:val="28"/>
          <w:szCs w:val="28"/>
        </w:rPr>
      </w:pPr>
    </w:p>
    <w:p w14:paraId="18976689" w14:textId="77777777" w:rsidR="002F443B" w:rsidRDefault="002F443B" w:rsidP="004321E4">
      <w:pPr>
        <w:rPr>
          <w:rFonts w:ascii="Palatino Linotype" w:hAnsi="Palatino Linotype"/>
          <w:b/>
          <w:bCs/>
          <w:sz w:val="28"/>
          <w:szCs w:val="28"/>
        </w:rPr>
      </w:pPr>
    </w:p>
    <w:p w14:paraId="15AE8543" w14:textId="77777777" w:rsidR="002F443B" w:rsidRDefault="002F443B" w:rsidP="004321E4">
      <w:pPr>
        <w:rPr>
          <w:rFonts w:ascii="Palatino Linotype" w:hAnsi="Palatino Linotype"/>
          <w:b/>
          <w:bCs/>
          <w:sz w:val="28"/>
          <w:szCs w:val="28"/>
        </w:rPr>
      </w:pPr>
    </w:p>
    <w:p w14:paraId="6D5C4D86" w14:textId="77777777" w:rsidR="002F443B" w:rsidRDefault="002F443B" w:rsidP="004321E4">
      <w:pPr>
        <w:rPr>
          <w:rFonts w:ascii="Palatino Linotype" w:hAnsi="Palatino Linotype"/>
          <w:b/>
          <w:bCs/>
          <w:sz w:val="28"/>
          <w:szCs w:val="28"/>
        </w:rPr>
      </w:pPr>
    </w:p>
    <w:p w14:paraId="51156FF5" w14:textId="77777777" w:rsidR="002F443B" w:rsidRDefault="002F443B" w:rsidP="004321E4">
      <w:pPr>
        <w:rPr>
          <w:rFonts w:ascii="Palatino Linotype" w:hAnsi="Palatino Linotype"/>
          <w:b/>
          <w:bCs/>
          <w:sz w:val="28"/>
          <w:szCs w:val="28"/>
        </w:rPr>
      </w:pPr>
    </w:p>
    <w:p w14:paraId="286C2394" w14:textId="77777777" w:rsidR="002F443B" w:rsidRDefault="002F443B" w:rsidP="004321E4">
      <w:pPr>
        <w:rPr>
          <w:rFonts w:ascii="Palatino Linotype" w:hAnsi="Palatino Linotype"/>
          <w:b/>
          <w:bCs/>
          <w:sz w:val="28"/>
          <w:szCs w:val="28"/>
        </w:rPr>
      </w:pPr>
    </w:p>
    <w:p w14:paraId="56789694" w14:textId="77777777" w:rsidR="002F443B" w:rsidRDefault="002F443B" w:rsidP="004321E4">
      <w:pPr>
        <w:rPr>
          <w:rFonts w:ascii="Palatino Linotype" w:hAnsi="Palatino Linotype"/>
          <w:b/>
          <w:bCs/>
          <w:sz w:val="28"/>
          <w:szCs w:val="28"/>
        </w:rPr>
      </w:pPr>
    </w:p>
    <w:p w14:paraId="018F6340" w14:textId="77777777" w:rsidR="002F443B" w:rsidRDefault="002F443B" w:rsidP="004321E4">
      <w:pPr>
        <w:rPr>
          <w:rFonts w:ascii="Palatino Linotype" w:hAnsi="Palatino Linotype"/>
          <w:b/>
          <w:bCs/>
          <w:sz w:val="28"/>
          <w:szCs w:val="28"/>
        </w:rPr>
      </w:pPr>
    </w:p>
    <w:p w14:paraId="31B027DA" w14:textId="77777777" w:rsidR="002F443B" w:rsidRDefault="002F443B" w:rsidP="004321E4">
      <w:pPr>
        <w:rPr>
          <w:rFonts w:ascii="Palatino Linotype" w:hAnsi="Palatino Linotype"/>
          <w:b/>
          <w:bCs/>
          <w:sz w:val="28"/>
          <w:szCs w:val="28"/>
        </w:rPr>
      </w:pPr>
    </w:p>
    <w:p w14:paraId="62E5782B" w14:textId="77777777" w:rsidR="002F443B" w:rsidRDefault="002F443B" w:rsidP="004321E4">
      <w:pPr>
        <w:rPr>
          <w:rFonts w:ascii="Palatino Linotype" w:hAnsi="Palatino Linotype"/>
          <w:b/>
          <w:bCs/>
          <w:sz w:val="28"/>
          <w:szCs w:val="28"/>
        </w:rPr>
      </w:pPr>
    </w:p>
    <w:p w14:paraId="678CE5F3" w14:textId="77777777" w:rsidR="002F443B" w:rsidRDefault="002F443B" w:rsidP="004321E4">
      <w:pPr>
        <w:rPr>
          <w:rFonts w:ascii="Palatino Linotype" w:hAnsi="Palatino Linotype"/>
          <w:b/>
          <w:bCs/>
          <w:sz w:val="28"/>
          <w:szCs w:val="28"/>
        </w:rPr>
      </w:pPr>
    </w:p>
    <w:p w14:paraId="7BED787A" w14:textId="77777777" w:rsidR="002F443B" w:rsidRDefault="002F443B" w:rsidP="004321E4">
      <w:pPr>
        <w:rPr>
          <w:rFonts w:ascii="Palatino Linotype" w:hAnsi="Palatino Linotype"/>
          <w:b/>
          <w:bCs/>
          <w:sz w:val="28"/>
          <w:szCs w:val="28"/>
        </w:rPr>
      </w:pPr>
    </w:p>
    <w:p w14:paraId="4213BC99" w14:textId="06C1DCD2" w:rsidR="002F443B" w:rsidRPr="00553A6B" w:rsidRDefault="002F443B" w:rsidP="002F443B">
      <w:pPr>
        <w:jc w:val="center"/>
        <w:rPr>
          <w:rFonts w:ascii="Palatino Linotype" w:hAnsi="Palatino Linotype"/>
          <w:b/>
          <w:bCs/>
          <w:sz w:val="28"/>
          <w:szCs w:val="28"/>
        </w:rPr>
      </w:pPr>
      <w:r w:rsidRPr="00553A6B">
        <w:rPr>
          <w:rFonts w:ascii="Palatino Linotype" w:hAnsi="Palatino Linotype"/>
          <w:b/>
          <w:bCs/>
          <w:sz w:val="28"/>
          <w:szCs w:val="28"/>
        </w:rPr>
        <w:lastRenderedPageBreak/>
        <w:t>INTRODUCTION</w:t>
      </w:r>
    </w:p>
    <w:p w14:paraId="1D026BCE" w14:textId="77777777" w:rsidR="002F443B" w:rsidRPr="00553A6B" w:rsidRDefault="002F443B" w:rsidP="002F443B">
      <w:pPr>
        <w:jc w:val="center"/>
        <w:rPr>
          <w:rFonts w:ascii="Palatino Linotype" w:hAnsi="Palatino Linotype"/>
          <w:b/>
          <w:bCs/>
          <w:sz w:val="28"/>
          <w:szCs w:val="28"/>
        </w:rPr>
      </w:pPr>
    </w:p>
    <w:p w14:paraId="587D84B7" w14:textId="2655DD7E" w:rsidR="002F443B" w:rsidRPr="00553A6B" w:rsidRDefault="002F443B" w:rsidP="002F443B">
      <w:pPr>
        <w:jc w:val="center"/>
        <w:rPr>
          <w:rFonts w:ascii="Palatino Linotype" w:hAnsi="Palatino Linotype"/>
          <w:b/>
          <w:bCs/>
          <w:i/>
          <w:iCs/>
          <w:sz w:val="28"/>
          <w:szCs w:val="28"/>
        </w:rPr>
      </w:pPr>
      <w:r w:rsidRPr="00553A6B">
        <w:rPr>
          <w:rFonts w:ascii="Palatino Linotype" w:hAnsi="Palatino Linotype"/>
          <w:b/>
          <w:bCs/>
          <w:i/>
          <w:iCs/>
          <w:sz w:val="28"/>
          <w:szCs w:val="28"/>
        </w:rPr>
        <w:t>BY T. DALE JOHNSON Jr., Ph.D.</w:t>
      </w:r>
    </w:p>
    <w:p w14:paraId="67D15F4D" w14:textId="77777777" w:rsidR="00E85B4E" w:rsidRPr="009E3537" w:rsidRDefault="00E85B4E" w:rsidP="00465A9E">
      <w:pPr>
        <w:rPr>
          <w:rFonts w:ascii="Palatino Linotype" w:hAnsi="Palatino Linotype"/>
          <w:i/>
          <w:iCs/>
          <w:sz w:val="24"/>
          <w:szCs w:val="24"/>
        </w:rPr>
      </w:pPr>
    </w:p>
    <w:p w14:paraId="0F79D73C" w14:textId="77777777" w:rsidR="00E85B4E" w:rsidRPr="00E85B4E" w:rsidRDefault="00E85B4E" w:rsidP="00E10921">
      <w:pPr>
        <w:ind w:firstLine="720"/>
        <w:rPr>
          <w:rFonts w:ascii="Palatino Linotype" w:hAnsi="Palatino Linotype"/>
          <w:sz w:val="24"/>
          <w:szCs w:val="24"/>
        </w:rPr>
      </w:pPr>
      <w:r w:rsidRPr="00E85B4E">
        <w:rPr>
          <w:rFonts w:ascii="Palatino Linotype" w:hAnsi="Palatino Linotype"/>
          <w:sz w:val="24"/>
          <w:szCs w:val="24"/>
        </w:rPr>
        <w:t>Since the beginning, humans have sought to grasp and understand their lives through a lens which would provide a deeper meaning. In many ancient civilizations, complex mythologies were constructed which sought to provide rationale and explanation for seemingly inexplicable phenomena. Not too unlike the ancients, people today still gravitate toward any system which purports to provide some sort of depth and meaning to daily experiences. Unfortunately, many times, this insatiable desire makes us quite vulnerable to faulty explanations of our human experiences. Psychiatry and psychology dominate current explanations behind human motivation, personality, and interpersonal relations. Through an ever-growing list of labels and “scientific” descriptions, these fields have come to dominate the narratives surrounding the meaning and purpose of life. If history has taught us anything, it is that there are many pitfalls born out of our tendency to embrace fables, so we ought to be willing to assess the systems, including psychiatry and psychology—both of which deeply influence us through the broader culture.</w:t>
      </w:r>
    </w:p>
    <w:p w14:paraId="671BD704" w14:textId="77777777" w:rsidR="00E10921" w:rsidRPr="009E3537" w:rsidRDefault="00E10921" w:rsidP="00E10921">
      <w:pPr>
        <w:ind w:firstLine="720"/>
        <w:rPr>
          <w:rFonts w:ascii="Palatino Linotype" w:hAnsi="Palatino Linotype"/>
          <w:sz w:val="24"/>
          <w:szCs w:val="24"/>
        </w:rPr>
      </w:pPr>
    </w:p>
    <w:p w14:paraId="5042D88F" w14:textId="73D5AB5C" w:rsidR="00E85B4E" w:rsidRPr="00E85B4E" w:rsidRDefault="00E85B4E" w:rsidP="00E10921">
      <w:pPr>
        <w:ind w:firstLine="720"/>
        <w:rPr>
          <w:rFonts w:ascii="Palatino Linotype" w:hAnsi="Palatino Linotype"/>
          <w:sz w:val="24"/>
          <w:szCs w:val="24"/>
        </w:rPr>
      </w:pPr>
      <w:r w:rsidRPr="00E85B4E">
        <w:rPr>
          <w:rFonts w:ascii="Palatino Linotype" w:hAnsi="Palatino Linotype"/>
          <w:sz w:val="24"/>
          <w:szCs w:val="24"/>
        </w:rPr>
        <w:t>As we discuss fallacies that are becoming more and more evident within the field of psychiatry, it is incumbent upon us to be cognizant of the people invested in the success of the field. No one goes into such a profession because they want to harm others. Quite the opposite is true. On the whole, the helping professions have the best people among us. While there are evil actors sprinkled throughout these vocations, whether they be pastors, police, doctors, psychologists, social workers, or psychiatrists, the reputation of these few should not reflect all those who serve in these vocations. With that in mind, please do not take the criticisms offered in these essays as personal attacks on workers at-large in the social sciences.</w:t>
      </w:r>
    </w:p>
    <w:p w14:paraId="63B93420" w14:textId="77777777" w:rsidR="002349B6" w:rsidRDefault="002349B6" w:rsidP="002349B6">
      <w:pPr>
        <w:ind w:firstLine="720"/>
        <w:rPr>
          <w:rFonts w:ascii="Palatino Linotype" w:hAnsi="Palatino Linotype"/>
          <w:sz w:val="24"/>
          <w:szCs w:val="24"/>
        </w:rPr>
      </w:pPr>
    </w:p>
    <w:p w14:paraId="2F7AD5E5" w14:textId="51D49732" w:rsidR="00E85B4E" w:rsidRPr="00E85B4E" w:rsidRDefault="00E85B4E" w:rsidP="002349B6">
      <w:pPr>
        <w:ind w:firstLine="720"/>
        <w:rPr>
          <w:rFonts w:ascii="Palatino Linotype" w:hAnsi="Palatino Linotype"/>
          <w:sz w:val="24"/>
          <w:szCs w:val="24"/>
        </w:rPr>
      </w:pPr>
      <w:r w:rsidRPr="00E85B4E">
        <w:rPr>
          <w:rFonts w:ascii="Palatino Linotype" w:hAnsi="Palatino Linotype"/>
          <w:sz w:val="24"/>
          <w:szCs w:val="24"/>
        </w:rPr>
        <w:t>The goal of this volume is to bring awareness that nudges against the cultural currency gained by the myths of modern psychiatry. Cultural tides are strong and not easily altered, so the conversations begun by the essays that follow may be slow to gain traction within the church. Yet, the task is worthy considering how much this tide has swept over the church culture and eroded the biblical mandates and methods of care given to believers within the body of Christ.</w:t>
      </w:r>
    </w:p>
    <w:p w14:paraId="65C48A04" w14:textId="77777777" w:rsidR="002349B6" w:rsidRDefault="002349B6" w:rsidP="002349B6">
      <w:pPr>
        <w:ind w:firstLine="720"/>
        <w:rPr>
          <w:rFonts w:ascii="Palatino Linotype" w:hAnsi="Palatino Linotype"/>
          <w:sz w:val="24"/>
          <w:szCs w:val="24"/>
        </w:rPr>
      </w:pPr>
    </w:p>
    <w:p w14:paraId="3B5E592F" w14:textId="6A18F80C" w:rsidR="00E85B4E" w:rsidRPr="00E85B4E" w:rsidRDefault="00E85B4E" w:rsidP="002349B6">
      <w:pPr>
        <w:ind w:firstLine="720"/>
        <w:rPr>
          <w:rFonts w:ascii="Palatino Linotype" w:hAnsi="Palatino Linotype"/>
          <w:sz w:val="24"/>
          <w:szCs w:val="24"/>
        </w:rPr>
      </w:pPr>
      <w:r w:rsidRPr="00E85B4E">
        <w:rPr>
          <w:rFonts w:ascii="Palatino Linotype" w:hAnsi="Palatino Linotype"/>
          <w:sz w:val="24"/>
          <w:szCs w:val="24"/>
        </w:rPr>
        <w:t xml:space="preserve">The myths of modern psychiatry are important to consider because these deeply rooted narratives detract from biblical soul care. Pastors who believe in the sufficiency of Scripture in their preaching are often quite apprehensive, or even fearful, in applying </w:t>
      </w:r>
      <w:r w:rsidRPr="00E85B4E">
        <w:rPr>
          <w:rFonts w:ascii="Palatino Linotype" w:hAnsi="Palatino Linotype"/>
          <w:sz w:val="24"/>
          <w:szCs w:val="24"/>
        </w:rPr>
        <w:lastRenderedPageBreak/>
        <w:t>that same doctrine of sufficiency to discipleship, counseling, and shepherding. Pastors often defer to the psychiatric and psychological explanations of problems in fear that they may be hindering some form of beneficial help, especially when those forms of help are promoted as scientific. No pastor wants to be guilty of working against “science,” especially if that science is intended to provide aid to the people in his church that he is responsible to shepherd. These essays are an attempt</w:t>
      </w:r>
      <w:r w:rsidR="002349B6">
        <w:rPr>
          <w:rFonts w:ascii="Palatino Linotype" w:hAnsi="Palatino Linotype"/>
          <w:sz w:val="24"/>
          <w:szCs w:val="24"/>
        </w:rPr>
        <w:t xml:space="preserve"> </w:t>
      </w:r>
      <w:r w:rsidRPr="00E85B4E">
        <w:rPr>
          <w:rFonts w:ascii="Palatino Linotype" w:hAnsi="Palatino Linotype"/>
          <w:sz w:val="24"/>
          <w:szCs w:val="24"/>
        </w:rPr>
        <w:t>to address some of the myths that parade as science in order to calm the fears of pastors which may keep them from engaging in biblical soul care. We never want the church to ignore science, but neither do we want scientism to hinder the beauty of biblical ministry and blind us against the sufficiency of Scripture.</w:t>
      </w:r>
    </w:p>
    <w:p w14:paraId="641615A8" w14:textId="77777777" w:rsidR="002349B6" w:rsidRDefault="002349B6" w:rsidP="002349B6">
      <w:pPr>
        <w:ind w:firstLine="720"/>
        <w:rPr>
          <w:rFonts w:ascii="Palatino Linotype" w:hAnsi="Palatino Linotype"/>
          <w:sz w:val="24"/>
          <w:szCs w:val="24"/>
        </w:rPr>
      </w:pPr>
    </w:p>
    <w:p w14:paraId="2D9025C2" w14:textId="5AF0D487" w:rsidR="00E85B4E" w:rsidRPr="00E85B4E" w:rsidRDefault="00E85B4E" w:rsidP="002349B6">
      <w:pPr>
        <w:ind w:firstLine="720"/>
        <w:rPr>
          <w:rFonts w:ascii="Palatino Linotype" w:hAnsi="Palatino Linotype"/>
          <w:sz w:val="24"/>
          <w:szCs w:val="24"/>
        </w:rPr>
      </w:pPr>
      <w:r w:rsidRPr="00E85B4E">
        <w:rPr>
          <w:rFonts w:ascii="Palatino Linotype" w:hAnsi="Palatino Linotype"/>
          <w:sz w:val="24"/>
          <w:szCs w:val="24"/>
        </w:rPr>
        <w:t>We are not against science or the pursuit of scientific knowledge, but we also need to be willing to discern the difference between legitimate science and scientism—philosophical ideas promoted by scientific language. We must take honest assessment of the progress of scientific inquiry and be willing to discard knowledge acquired by worldly philosophies rather than empirical data. This task is even more critical when dealing with the intricacies of human persons, whose immaterial souls add a level of unknown variability to the observable abilities of scientific inquiry.</w:t>
      </w:r>
    </w:p>
    <w:p w14:paraId="3F2BF01B" w14:textId="77777777" w:rsidR="002349B6" w:rsidRDefault="002349B6" w:rsidP="002349B6">
      <w:pPr>
        <w:ind w:firstLine="720"/>
        <w:rPr>
          <w:rFonts w:ascii="Palatino Linotype" w:hAnsi="Palatino Linotype"/>
          <w:sz w:val="24"/>
          <w:szCs w:val="24"/>
        </w:rPr>
      </w:pPr>
    </w:p>
    <w:p w14:paraId="0E055A79" w14:textId="78E6893D" w:rsidR="00E85B4E" w:rsidRPr="00E85B4E" w:rsidRDefault="00E85B4E" w:rsidP="002349B6">
      <w:pPr>
        <w:ind w:firstLine="720"/>
        <w:rPr>
          <w:rFonts w:ascii="Palatino Linotype" w:hAnsi="Palatino Linotype"/>
          <w:sz w:val="24"/>
          <w:szCs w:val="24"/>
        </w:rPr>
      </w:pPr>
      <w:r w:rsidRPr="00E85B4E">
        <w:rPr>
          <w:rFonts w:ascii="Palatino Linotype" w:hAnsi="Palatino Linotype"/>
          <w:sz w:val="24"/>
          <w:szCs w:val="24"/>
        </w:rPr>
        <w:t>The authors in this volume are raising concerns which are against the cultural tide, but not against the research flooding out of highly respected professionals within the fields of psychiatry and psychology. Many top experts in psychiatry and psychology are sounding various alarms regarding the unstable foundations upon which their disciplines stand. Jay Adams would refer to these type of folks as co-belligerents, and I tend to agree. Many of the secular professionals within the field of psychiatry are now willing to voice major concerns with the weakening edifice of the “science” behind their field. While I would agree with the myriad of concerns being voiced, I would certainly differ from the secularist’s proposals on a pathway forward, which is different, primarily, due to the worldview distinctions between a secularist and one who believes in the sufficiency of Scripture attempting to employ a biblical worldview (Colossians 3:1-3).</w:t>
      </w:r>
    </w:p>
    <w:p w14:paraId="0CBF89ED" w14:textId="77777777" w:rsidR="002349B6" w:rsidRDefault="002349B6" w:rsidP="002349B6">
      <w:pPr>
        <w:ind w:firstLine="720"/>
        <w:rPr>
          <w:rFonts w:ascii="Palatino Linotype" w:hAnsi="Palatino Linotype"/>
          <w:sz w:val="24"/>
          <w:szCs w:val="24"/>
        </w:rPr>
      </w:pPr>
    </w:p>
    <w:p w14:paraId="7E6C8302" w14:textId="13A71AE5" w:rsidR="00E85B4E" w:rsidRPr="00E85B4E" w:rsidRDefault="00E85B4E" w:rsidP="002349B6">
      <w:pPr>
        <w:ind w:firstLine="720"/>
        <w:rPr>
          <w:rFonts w:ascii="Palatino Linotype" w:hAnsi="Palatino Linotype"/>
          <w:sz w:val="24"/>
          <w:szCs w:val="24"/>
        </w:rPr>
      </w:pPr>
      <w:r w:rsidRPr="00E85B4E">
        <w:rPr>
          <w:rFonts w:ascii="Palatino Linotype" w:hAnsi="Palatino Linotype"/>
          <w:sz w:val="24"/>
          <w:szCs w:val="24"/>
        </w:rPr>
        <w:t>As Christians we must not tolerate attempts by science to reduce man to the sum of his biological parts. But neither should we tolerate empty worldly philosophies which attempt to describe the immaterial aspects of man in naturalistic terms. One leads to biological reductionism and the other to scientific elitism attempting to exploit the good reputation of science while using unbiblical and ungodly philosophies as a trojan horse that will destroy both good science and biblical faith.</w:t>
      </w:r>
    </w:p>
    <w:p w14:paraId="480A4609" w14:textId="77777777" w:rsidR="002349B6" w:rsidRDefault="002349B6" w:rsidP="002349B6">
      <w:pPr>
        <w:ind w:firstLine="720"/>
        <w:rPr>
          <w:rFonts w:ascii="Palatino Linotype" w:hAnsi="Palatino Linotype"/>
          <w:sz w:val="24"/>
          <w:szCs w:val="24"/>
        </w:rPr>
      </w:pPr>
    </w:p>
    <w:p w14:paraId="23EAE6A1" w14:textId="2B1B0E8F" w:rsidR="00E85B4E" w:rsidRPr="00E85B4E" w:rsidRDefault="00E85B4E" w:rsidP="002349B6">
      <w:pPr>
        <w:ind w:firstLine="720"/>
        <w:rPr>
          <w:rFonts w:ascii="Palatino Linotype" w:hAnsi="Palatino Linotype"/>
          <w:sz w:val="24"/>
          <w:szCs w:val="24"/>
        </w:rPr>
      </w:pPr>
      <w:r w:rsidRPr="00E85B4E">
        <w:rPr>
          <w:rFonts w:ascii="Palatino Linotype" w:hAnsi="Palatino Linotype"/>
          <w:sz w:val="24"/>
          <w:szCs w:val="24"/>
        </w:rPr>
        <w:t xml:space="preserve">Whether or not we recognize it, the language and ideas that formulate the </w:t>
      </w:r>
      <w:r w:rsidRPr="00E85B4E">
        <w:rPr>
          <w:rFonts w:ascii="Palatino Linotype" w:hAnsi="Palatino Linotype"/>
          <w:sz w:val="24"/>
          <w:szCs w:val="24"/>
        </w:rPr>
        <w:lastRenderedPageBreak/>
        <w:t>practice of psychology and psychiatry have permeated every aspect of our life. We cannot ignore the encroachment of the philosophies at play. There would not be near the concern if these philosophies were benign to our culture or the church, but the psychological self and the medicalized concept of mental illness have taken such deep roots that identities in modern society have been set by psychiatric diagnoses and treatments. Health, identity, meaning, purpose, and value are culturally measured by these subjective systems. These pervasive ideologies are more akin to philosophical religious worldviews than to empirically validated explanations of life.</w:t>
      </w:r>
    </w:p>
    <w:p w14:paraId="6BBB3322" w14:textId="77777777" w:rsidR="002349B6" w:rsidRPr="009070AE" w:rsidRDefault="002349B6" w:rsidP="002349B6">
      <w:pPr>
        <w:ind w:firstLine="720"/>
        <w:rPr>
          <w:rFonts w:ascii="Palatino Linotype" w:hAnsi="Palatino Linotype"/>
          <w:sz w:val="24"/>
          <w:szCs w:val="24"/>
        </w:rPr>
      </w:pPr>
    </w:p>
    <w:p w14:paraId="19167313" w14:textId="5BF14AA2" w:rsidR="002349B6" w:rsidRPr="009070AE" w:rsidRDefault="00E85B4E" w:rsidP="002349B6">
      <w:pPr>
        <w:ind w:firstLine="720"/>
        <w:rPr>
          <w:rFonts w:ascii="Palatino Linotype" w:hAnsi="Palatino Linotype"/>
          <w:sz w:val="24"/>
          <w:szCs w:val="24"/>
        </w:rPr>
      </w:pPr>
      <w:r w:rsidRPr="00E85B4E">
        <w:rPr>
          <w:rFonts w:ascii="Palatino Linotype" w:hAnsi="Palatino Linotype"/>
          <w:sz w:val="24"/>
          <w:szCs w:val="24"/>
        </w:rPr>
        <w:t>Consider for example the arguments recently made by Carl Trueman regarding the psychological self. “Happiness,” he said, “as an inner sense of the psychological well-being is the hallmark of the therapeutic age.”</w:t>
      </w:r>
      <w:r w:rsidR="009070AE" w:rsidRPr="009070AE">
        <w:rPr>
          <w:rStyle w:val="FootnoteReference"/>
          <w:rFonts w:ascii="Palatino Linotype" w:hAnsi="Palatino Linotype"/>
          <w:sz w:val="24"/>
          <w:szCs w:val="24"/>
        </w:rPr>
        <w:footnoteReference w:id="1"/>
      </w:r>
      <w:r w:rsidRPr="00E85B4E">
        <w:rPr>
          <w:rFonts w:ascii="Palatino Linotype" w:hAnsi="Palatino Linotype"/>
          <w:sz w:val="24"/>
          <w:szCs w:val="24"/>
        </w:rPr>
        <w:t xml:space="preserve"> The narratives propagated by the </w:t>
      </w:r>
      <w:r w:rsidRPr="00E85B4E">
        <w:rPr>
          <w:rFonts w:ascii="Palatino Linotype" w:hAnsi="Palatino Linotype"/>
          <w:i/>
          <w:iCs/>
          <w:sz w:val="24"/>
          <w:szCs w:val="24"/>
        </w:rPr>
        <w:t>Diagnostic and</w:t>
      </w:r>
      <w:r w:rsidR="002349B6" w:rsidRPr="009070AE">
        <w:rPr>
          <w:rFonts w:ascii="Palatino Linotype" w:hAnsi="Palatino Linotype"/>
          <w:i/>
          <w:iCs/>
          <w:sz w:val="24"/>
          <w:szCs w:val="24"/>
        </w:rPr>
        <w:t xml:space="preserve"> </w:t>
      </w:r>
      <w:r w:rsidR="002349B6" w:rsidRPr="009070AE">
        <w:rPr>
          <w:rFonts w:ascii="Palatino Linotype" w:hAnsi="Palatino Linotype"/>
          <w:i/>
          <w:iCs/>
          <w:sz w:val="24"/>
          <w:szCs w:val="24"/>
        </w:rPr>
        <w:t>Statistical Manual of Mental Disorders</w:t>
      </w:r>
      <w:r w:rsidR="002349B6" w:rsidRPr="009070AE">
        <w:rPr>
          <w:rFonts w:ascii="Palatino Linotype" w:hAnsi="Palatino Linotype"/>
          <w:sz w:val="24"/>
          <w:szCs w:val="24"/>
        </w:rPr>
        <w:t xml:space="preserve"> (DSM) and the biological reductionism enshrined there since its third edition released in 1980 have not produced defined pathologies of human problems but have also expanded identities that are said to thrive on self-fulfillment and self-empowerment. The devastating impact these narratives have had upon the absolute morality of biblical Christianity are countless. Trueman captures it well throughout his book, but especially when he says,</w:t>
      </w:r>
    </w:p>
    <w:p w14:paraId="51A26A38" w14:textId="77777777" w:rsidR="009070AE" w:rsidRPr="009070AE" w:rsidRDefault="009070AE" w:rsidP="009070AE">
      <w:pPr>
        <w:ind w:left="720"/>
        <w:rPr>
          <w:rFonts w:ascii="Palatino Linotype" w:hAnsi="Palatino Linotype"/>
          <w:sz w:val="24"/>
          <w:szCs w:val="24"/>
        </w:rPr>
      </w:pPr>
    </w:p>
    <w:p w14:paraId="0D495913" w14:textId="6C0F1E28" w:rsidR="002349B6" w:rsidRPr="002349B6" w:rsidRDefault="002349B6" w:rsidP="009070AE">
      <w:pPr>
        <w:ind w:left="720"/>
        <w:rPr>
          <w:rFonts w:ascii="Palatino Linotype" w:hAnsi="Palatino Linotype"/>
          <w:sz w:val="24"/>
          <w:szCs w:val="24"/>
        </w:rPr>
      </w:pPr>
      <w:r w:rsidRPr="002349B6">
        <w:rPr>
          <w:rFonts w:ascii="Palatino Linotype" w:hAnsi="Palatino Linotype"/>
          <w:sz w:val="24"/>
          <w:szCs w:val="24"/>
        </w:rPr>
        <w:t>In a world in which the self is constructed psychologically and in which the therapeutic is the ethical ideal, we should therefore expect the notion of good and bad, of what is appropriate and inappropriate behavior, to change accordingly. The notion of assault on the person becomes not simply—or even perhaps primarily—a matter that involves damage to the body or to property; it becomes psychological, something that damages the inner self or hinders that sense of psychological well-being that lies at the heart of the therapeutic</w:t>
      </w:r>
      <w:r w:rsidR="009070AE">
        <w:rPr>
          <w:rFonts w:ascii="Palatino Linotype" w:hAnsi="Palatino Linotype"/>
          <w:sz w:val="24"/>
          <w:szCs w:val="24"/>
        </w:rPr>
        <w:t xml:space="preserve">… </w:t>
      </w:r>
      <w:r w:rsidRPr="002349B6">
        <w:rPr>
          <w:rFonts w:ascii="Palatino Linotype" w:hAnsi="Palatino Linotype"/>
          <w:sz w:val="24"/>
          <w:szCs w:val="24"/>
        </w:rPr>
        <w:t>One need only hold to the idea that the self is to be regarded as a primarily psychological phenomenon to agree that words and images that promote or reinforce psychologically unhealthy views should be censored or silenced.</w:t>
      </w:r>
      <w:r w:rsidR="009070AE">
        <w:rPr>
          <w:rStyle w:val="FootnoteReference"/>
          <w:rFonts w:ascii="Palatino Linotype" w:hAnsi="Palatino Linotype"/>
          <w:sz w:val="24"/>
          <w:szCs w:val="24"/>
        </w:rPr>
        <w:footnoteReference w:id="2"/>
      </w:r>
    </w:p>
    <w:p w14:paraId="17ED6B3B" w14:textId="77777777" w:rsidR="009070AE" w:rsidRDefault="009070AE" w:rsidP="002349B6">
      <w:pPr>
        <w:ind w:firstLine="720"/>
        <w:rPr>
          <w:rFonts w:ascii="Palatino Linotype" w:hAnsi="Palatino Linotype"/>
          <w:sz w:val="24"/>
          <w:szCs w:val="24"/>
        </w:rPr>
      </w:pPr>
    </w:p>
    <w:p w14:paraId="51EAF815" w14:textId="6D73C31F" w:rsidR="002349B6" w:rsidRPr="002349B6" w:rsidRDefault="002349B6" w:rsidP="002349B6">
      <w:pPr>
        <w:ind w:firstLine="720"/>
        <w:rPr>
          <w:rFonts w:ascii="Palatino Linotype" w:hAnsi="Palatino Linotype"/>
          <w:sz w:val="24"/>
          <w:szCs w:val="24"/>
        </w:rPr>
      </w:pPr>
      <w:r w:rsidRPr="002349B6">
        <w:rPr>
          <w:rFonts w:ascii="Palatino Linotype" w:hAnsi="Palatino Linotype"/>
          <w:sz w:val="24"/>
          <w:szCs w:val="24"/>
        </w:rPr>
        <w:t>O. Hobart Mowrer certainly foresaw the damage that would be done when religion gave way to the subjective worldview created by secular psychology. He asked, “Has evangelical religion sold its birthright for a mess of psychological pottage?”</w:t>
      </w:r>
      <w:r w:rsidR="009070AE">
        <w:rPr>
          <w:rStyle w:val="FootnoteReference"/>
          <w:rFonts w:ascii="Palatino Linotype" w:hAnsi="Palatino Linotype"/>
          <w:sz w:val="24"/>
          <w:szCs w:val="24"/>
        </w:rPr>
        <w:footnoteReference w:id="3"/>
      </w:r>
      <w:r w:rsidRPr="002349B6">
        <w:rPr>
          <w:rFonts w:ascii="Palatino Linotype" w:hAnsi="Palatino Linotype"/>
          <w:sz w:val="24"/>
          <w:szCs w:val="24"/>
        </w:rPr>
        <w:t xml:space="preserve">The answer to his question has been revealed further over time, since it wasn’t obvious to many when he asked the question in the 1960s. Religious care has been usurped by the secular narratives, but just as important as what has been taken is what we have </w:t>
      </w:r>
      <w:r w:rsidRPr="002349B6">
        <w:rPr>
          <w:rFonts w:ascii="Palatino Linotype" w:hAnsi="Palatino Linotype"/>
          <w:sz w:val="24"/>
          <w:szCs w:val="24"/>
        </w:rPr>
        <w:lastRenderedPageBreak/>
        <w:t>received. Biblical Christianity has received much more than the psychological pottage foreshadowed by Mowrer. We have imbibed a new language of care, new descriptions of identity, new means of salvation, and circumstantial hope. We have received the unstable hope of self-empowerment and self-actualization in the place of biblical salvation—a call to die to self.</w:t>
      </w:r>
      <w:r w:rsidR="009070AE">
        <w:rPr>
          <w:rStyle w:val="FootnoteReference"/>
          <w:rFonts w:ascii="Palatino Linotype" w:hAnsi="Palatino Linotype"/>
          <w:sz w:val="24"/>
          <w:szCs w:val="24"/>
        </w:rPr>
        <w:footnoteReference w:id="4"/>
      </w:r>
    </w:p>
    <w:p w14:paraId="4AF6BC62" w14:textId="77777777" w:rsidR="009070AE" w:rsidRDefault="009070AE" w:rsidP="002349B6">
      <w:pPr>
        <w:ind w:firstLine="720"/>
        <w:rPr>
          <w:rFonts w:ascii="Palatino Linotype" w:hAnsi="Palatino Linotype"/>
          <w:sz w:val="24"/>
          <w:szCs w:val="24"/>
        </w:rPr>
      </w:pPr>
    </w:p>
    <w:p w14:paraId="3E3C10BA" w14:textId="720528AF" w:rsidR="002349B6" w:rsidRPr="002349B6" w:rsidRDefault="002349B6" w:rsidP="002349B6">
      <w:pPr>
        <w:ind w:firstLine="720"/>
        <w:rPr>
          <w:rFonts w:ascii="Palatino Linotype" w:hAnsi="Palatino Linotype"/>
          <w:sz w:val="24"/>
          <w:szCs w:val="24"/>
        </w:rPr>
      </w:pPr>
      <w:r w:rsidRPr="002349B6">
        <w:rPr>
          <w:rFonts w:ascii="Palatino Linotype" w:hAnsi="Palatino Linotype"/>
          <w:sz w:val="24"/>
          <w:szCs w:val="24"/>
        </w:rPr>
        <w:t>Methods of counseling psychology and treatments of psychiatry are not neutral approaches to human maladies. They are born out of systems that attempt to explain the realities of humanity. In other words, there are philosophical presuppositions undergirding the practices that have built the monument of anthropology to which the modern social sciences pay homage. While I respect the true desire to care well for those hurting, the unscientific edifices upon which those approaches are built are not holding up under the weight of empirical inquiry.</w:t>
      </w:r>
    </w:p>
    <w:p w14:paraId="5150B4DD" w14:textId="77777777" w:rsidR="009070AE" w:rsidRDefault="009070AE" w:rsidP="002349B6">
      <w:pPr>
        <w:ind w:firstLine="720"/>
        <w:rPr>
          <w:rFonts w:ascii="Palatino Linotype" w:hAnsi="Palatino Linotype"/>
          <w:sz w:val="24"/>
          <w:szCs w:val="24"/>
        </w:rPr>
      </w:pPr>
    </w:p>
    <w:p w14:paraId="5EC4680A" w14:textId="062F50CD" w:rsidR="002349B6" w:rsidRPr="002349B6" w:rsidRDefault="002349B6" w:rsidP="009070AE">
      <w:pPr>
        <w:ind w:firstLine="720"/>
        <w:rPr>
          <w:rFonts w:ascii="Palatino Linotype" w:hAnsi="Palatino Linotype"/>
          <w:sz w:val="24"/>
          <w:szCs w:val="24"/>
        </w:rPr>
      </w:pPr>
      <w:r w:rsidRPr="002349B6">
        <w:rPr>
          <w:rFonts w:ascii="Palatino Linotype" w:hAnsi="Palatino Linotype"/>
          <w:sz w:val="24"/>
          <w:szCs w:val="24"/>
        </w:rPr>
        <w:t>The reason we are considering the myths of modern psychiatry is we want to discern between truth and error, between fact and speculation, between philosophy and science. What I mean by myths is not that the ideologies lack suggestive power or influence over the lives of people—history demonstrates that mythological beliefs led people to irrational, deleterious,</w:t>
      </w:r>
      <w:r w:rsidR="009070AE">
        <w:rPr>
          <w:rFonts w:ascii="Palatino Linotype" w:hAnsi="Palatino Linotype"/>
          <w:sz w:val="24"/>
          <w:szCs w:val="24"/>
        </w:rPr>
        <w:t xml:space="preserve"> </w:t>
      </w:r>
      <w:r w:rsidRPr="002349B6">
        <w:rPr>
          <w:rFonts w:ascii="Palatino Linotype" w:hAnsi="Palatino Linotype"/>
          <w:sz w:val="24"/>
          <w:szCs w:val="24"/>
        </w:rPr>
        <w:t>and sinful acts in the name of good. Children sacrificed to Molech, Jews in Nazi camps, families drinking cyanide for Jim Jones, and the list could go on and on. In each of these cases the tragedy is measured not as much by the depth of foolishness to cause the calamity, but the masses genuinely convinced by these inhumane and ungodly ideologies. What makes modern myths of psychiatry dangerous is they are not viewed as philosophical assumptions, but as accepted science.</w:t>
      </w:r>
    </w:p>
    <w:p w14:paraId="45FC8565" w14:textId="77777777" w:rsidR="009070AE" w:rsidRDefault="009070AE" w:rsidP="002349B6">
      <w:pPr>
        <w:ind w:firstLine="720"/>
        <w:rPr>
          <w:rFonts w:ascii="Palatino Linotype" w:hAnsi="Palatino Linotype"/>
          <w:sz w:val="24"/>
          <w:szCs w:val="24"/>
        </w:rPr>
      </w:pPr>
    </w:p>
    <w:p w14:paraId="2FD82EE3" w14:textId="417D1DBA" w:rsidR="002349B6" w:rsidRDefault="002349B6" w:rsidP="002349B6">
      <w:pPr>
        <w:ind w:firstLine="720"/>
        <w:rPr>
          <w:rFonts w:ascii="Palatino Linotype" w:hAnsi="Palatino Linotype"/>
          <w:sz w:val="24"/>
          <w:szCs w:val="24"/>
        </w:rPr>
      </w:pPr>
      <w:r w:rsidRPr="002349B6">
        <w:rPr>
          <w:rFonts w:ascii="Palatino Linotype" w:hAnsi="Palatino Linotype"/>
          <w:sz w:val="24"/>
          <w:szCs w:val="24"/>
        </w:rPr>
        <w:t>The state of “science” in our culture enjoys an untouchable position within the hierarchy of knowledge. The goal is not to question legitimate science, but to guard it. As scientism wins the day, the legitimacy of good science is diluted. Many may ask how we could raise such questions related to psychiatry, particularly the medical approach. The goal is to expose what secularists are currently coming to grips with. While many of the criticisms of psychiatry are not new, a barrage of honest critiques increased tremendously since the newest edition of the Diagnostic and Statistical Manual of Mental Disorders (DSM) in 2013.</w:t>
      </w:r>
      <w:r w:rsidR="009070AE">
        <w:rPr>
          <w:rStyle w:val="FootnoteReference"/>
          <w:rFonts w:ascii="Palatino Linotype" w:hAnsi="Palatino Linotype"/>
          <w:sz w:val="24"/>
          <w:szCs w:val="24"/>
        </w:rPr>
        <w:footnoteReference w:id="5"/>
      </w:r>
      <w:r w:rsidRPr="002349B6">
        <w:rPr>
          <w:rFonts w:ascii="Palatino Linotype" w:hAnsi="Palatino Linotype"/>
          <w:sz w:val="24"/>
          <w:szCs w:val="24"/>
        </w:rPr>
        <w:t xml:space="preserve"> Allen Frances may be the most notable among the critics since he held the position of chairman for the DSM-IV task force—the group </w:t>
      </w:r>
      <w:r w:rsidRPr="002349B6">
        <w:rPr>
          <w:rFonts w:ascii="Palatino Linotype" w:hAnsi="Palatino Linotype"/>
          <w:sz w:val="24"/>
          <w:szCs w:val="24"/>
        </w:rPr>
        <w:lastRenderedPageBreak/>
        <w:t xml:space="preserve">responsible for writing the DSM-IV published by the American Psychiatric Association. His criticisms have been most clearly expressed in his book </w:t>
      </w:r>
      <w:r w:rsidRPr="002349B6">
        <w:rPr>
          <w:rFonts w:ascii="Palatino Linotype" w:hAnsi="Palatino Linotype"/>
          <w:i/>
          <w:sz w:val="24"/>
          <w:szCs w:val="24"/>
        </w:rPr>
        <w:t>Saving Normal</w:t>
      </w:r>
      <w:r w:rsidRPr="002349B6">
        <w:rPr>
          <w:rFonts w:ascii="Palatino Linotype" w:hAnsi="Palatino Linotype"/>
          <w:sz w:val="24"/>
          <w:szCs w:val="24"/>
        </w:rPr>
        <w:t>, which laments that everyday human problems are now being medicalized and over diagnosed. He warns that the DSM-5 inflates the diagnosis of various mental disorders to the point that any unwanted human experiences will be considered abnormal, which will hardly distinguish the truly disordered from those experiencing normal human distresses.</w:t>
      </w:r>
      <w:r w:rsidR="009070AE">
        <w:rPr>
          <w:rStyle w:val="FootnoteReference"/>
          <w:rFonts w:ascii="Palatino Linotype" w:hAnsi="Palatino Linotype"/>
          <w:sz w:val="24"/>
          <w:szCs w:val="24"/>
        </w:rPr>
        <w:footnoteReference w:id="6"/>
      </w:r>
      <w:r w:rsidRPr="002349B6">
        <w:rPr>
          <w:rFonts w:ascii="Palatino Linotype" w:hAnsi="Palatino Linotype"/>
          <w:sz w:val="24"/>
          <w:szCs w:val="24"/>
        </w:rPr>
        <w:t xml:space="preserve"> Allen Horwitz, Distinguished Professor of Sociology Emeritus at Rutgers University, has offered the latest critique in his book </w:t>
      </w:r>
      <w:r w:rsidRPr="002349B6">
        <w:rPr>
          <w:rFonts w:ascii="Palatino Linotype" w:hAnsi="Palatino Linotype"/>
          <w:i/>
          <w:sz w:val="24"/>
          <w:szCs w:val="24"/>
        </w:rPr>
        <w:t>DSM: A History of Psychiatry’s Bible.</w:t>
      </w:r>
      <w:r w:rsidR="009070AE">
        <w:rPr>
          <w:rStyle w:val="FootnoteReference"/>
          <w:rFonts w:ascii="Palatino Linotype" w:hAnsi="Palatino Linotype"/>
          <w:i/>
          <w:sz w:val="24"/>
          <w:szCs w:val="24"/>
        </w:rPr>
        <w:footnoteReference w:id="7"/>
      </w:r>
      <w:r w:rsidRPr="002349B6">
        <w:rPr>
          <w:rFonts w:ascii="Palatino Linotype" w:hAnsi="Palatino Linotype"/>
          <w:sz w:val="24"/>
          <w:szCs w:val="24"/>
        </w:rPr>
        <w:t xml:space="preserve"> Here is a sample of Horwitz’s critiques of the diagnostic manual:</w:t>
      </w:r>
    </w:p>
    <w:p w14:paraId="0C4D2984" w14:textId="77777777" w:rsidR="009070AE" w:rsidRPr="002349B6" w:rsidRDefault="009070AE" w:rsidP="002349B6">
      <w:pPr>
        <w:ind w:firstLine="720"/>
        <w:rPr>
          <w:rFonts w:ascii="Palatino Linotype" w:hAnsi="Palatino Linotype"/>
          <w:sz w:val="24"/>
          <w:szCs w:val="24"/>
        </w:rPr>
      </w:pPr>
    </w:p>
    <w:p w14:paraId="138B797C" w14:textId="245DADE7" w:rsidR="002349B6" w:rsidRPr="002349B6" w:rsidRDefault="002349B6" w:rsidP="009070AE">
      <w:pPr>
        <w:ind w:left="720"/>
        <w:rPr>
          <w:rFonts w:ascii="Palatino Linotype" w:hAnsi="Palatino Linotype"/>
          <w:sz w:val="24"/>
          <w:szCs w:val="24"/>
        </w:rPr>
      </w:pPr>
      <w:r w:rsidRPr="002349B6">
        <w:rPr>
          <w:rFonts w:ascii="Palatino Linotype" w:hAnsi="Palatino Linotype"/>
          <w:sz w:val="24"/>
          <w:szCs w:val="24"/>
        </w:rPr>
        <w:t>The importance of the DSM for psychiatry is unique among medical specialties. Other areas of medicine commonly rely on biological markers that confirm or refute diagnosis of some disease: cardiologists use PET scans to see whether a heart has tissue damage, nephrologists take x-rays to search for a kidney stone, oncologists perform biopsies to detect cancerous cells, and general practitioners employ blood tests to establish levels of cholesterol or blood pressure. Psychiatrists, however, have none of these tools. The lack of confirming markers for any common mental disorder means that diagnosis in itself has an outsize role in psychiatry compared to other branches of medicine. Although most of the DSM diagnoses lay out detailed symptom criteria and specific inclusion and exclusion rules, in actuality, patient self-reports and, sometimes, clinical observations constitute psychiatry’s diagnostic resources. No independent criteria can verify the accuracy of a clinician’s assessment of a mental disorder.</w:t>
      </w:r>
      <w:r w:rsidR="009070AE">
        <w:rPr>
          <w:rStyle w:val="FootnoteReference"/>
          <w:rFonts w:ascii="Palatino Linotype" w:hAnsi="Palatino Linotype"/>
          <w:sz w:val="24"/>
          <w:szCs w:val="24"/>
        </w:rPr>
        <w:footnoteReference w:id="8"/>
      </w:r>
    </w:p>
    <w:p w14:paraId="24B40046" w14:textId="77777777" w:rsidR="002349B6" w:rsidRDefault="002349B6" w:rsidP="002349B6">
      <w:pPr>
        <w:ind w:firstLine="720"/>
        <w:rPr>
          <w:rFonts w:ascii="Palatino Linotype" w:hAnsi="Palatino Linotype"/>
          <w:sz w:val="24"/>
          <w:szCs w:val="24"/>
        </w:rPr>
      </w:pPr>
    </w:p>
    <w:p w14:paraId="4C319D65" w14:textId="77777777" w:rsidR="002349B6" w:rsidRDefault="002349B6" w:rsidP="002349B6">
      <w:pPr>
        <w:ind w:firstLine="720"/>
        <w:rPr>
          <w:rFonts w:ascii="Palatino Linotype" w:hAnsi="Palatino Linotype"/>
          <w:sz w:val="24"/>
          <w:szCs w:val="24"/>
        </w:rPr>
      </w:pPr>
      <w:r w:rsidRPr="002349B6">
        <w:rPr>
          <w:rFonts w:ascii="Palatino Linotype" w:hAnsi="Palatino Linotype"/>
          <w:sz w:val="24"/>
          <w:szCs w:val="24"/>
        </w:rPr>
        <w:t>In many respects what has occurred is that we have taken the philosophies of life from the field of psychiatry under the guise of scientific language and received it as authoritative. If this is accurate then psychiatric advance has flourished utilizing scientism, benefiting from the authority science possesses in our modern day. Francis Schaeffer warned about the potential misappropriation of science and its authority if theological absolutes were removed.</w:t>
      </w:r>
    </w:p>
    <w:p w14:paraId="06FB83FF" w14:textId="77777777" w:rsidR="009070AE" w:rsidRPr="002349B6" w:rsidRDefault="009070AE" w:rsidP="002349B6">
      <w:pPr>
        <w:ind w:firstLine="720"/>
        <w:rPr>
          <w:rFonts w:ascii="Palatino Linotype" w:hAnsi="Palatino Linotype"/>
          <w:sz w:val="24"/>
          <w:szCs w:val="24"/>
        </w:rPr>
      </w:pPr>
    </w:p>
    <w:p w14:paraId="267007DB" w14:textId="77777777" w:rsidR="002349B6" w:rsidRPr="002349B6" w:rsidRDefault="002349B6" w:rsidP="009070AE">
      <w:pPr>
        <w:ind w:left="720"/>
        <w:rPr>
          <w:rFonts w:ascii="Palatino Linotype" w:hAnsi="Palatino Linotype"/>
          <w:sz w:val="24"/>
          <w:szCs w:val="24"/>
        </w:rPr>
      </w:pPr>
      <w:r w:rsidRPr="002349B6">
        <w:rPr>
          <w:rFonts w:ascii="Palatino Linotype" w:hAnsi="Palatino Linotype"/>
          <w:sz w:val="24"/>
          <w:szCs w:val="24"/>
        </w:rPr>
        <w:t xml:space="preserve">I do not believe that man without absolutes, without the certainty that gave birth to modern science in the first place, will continue to maintain a high sense of objectivity. On one side, I think science will increasingly become only technology. On the other side, it will become sociological science and be a tool of </w:t>
      </w:r>
      <w:r w:rsidRPr="002349B6">
        <w:rPr>
          <w:rFonts w:ascii="Palatino Linotype" w:hAnsi="Palatino Linotype"/>
          <w:sz w:val="24"/>
          <w:szCs w:val="24"/>
        </w:rPr>
        <w:lastRenderedPageBreak/>
        <w:t>manipulation in the hands of the manipulators.</w:t>
      </w:r>
    </w:p>
    <w:p w14:paraId="0B1B98BE" w14:textId="77777777" w:rsidR="009070AE" w:rsidRDefault="009070AE" w:rsidP="002349B6">
      <w:pPr>
        <w:ind w:firstLine="720"/>
        <w:rPr>
          <w:rFonts w:ascii="Palatino Linotype" w:hAnsi="Palatino Linotype"/>
          <w:sz w:val="24"/>
          <w:szCs w:val="24"/>
        </w:rPr>
      </w:pPr>
    </w:p>
    <w:p w14:paraId="32EA2012" w14:textId="1C4A2C38" w:rsidR="002349B6" w:rsidRPr="002349B6" w:rsidRDefault="002349B6" w:rsidP="009070AE">
      <w:pPr>
        <w:ind w:left="720"/>
        <w:rPr>
          <w:rFonts w:ascii="Palatino Linotype" w:hAnsi="Palatino Linotype"/>
          <w:sz w:val="24"/>
          <w:szCs w:val="24"/>
        </w:rPr>
      </w:pPr>
      <w:r w:rsidRPr="002349B6">
        <w:rPr>
          <w:rFonts w:ascii="Palatino Linotype" w:hAnsi="Palatino Linotype"/>
          <w:sz w:val="24"/>
          <w:szCs w:val="24"/>
        </w:rPr>
        <w:t>Beware, therefore, of the movement to give the scientific community the right to rule. They are not neutral in the old concept of scientific objectivity. Objectivity is a myth that will not hold simply because these men have no basis for it. Keep in mind that to these men morals are only a set of averages. Here, then, is a present form of manipulation which we can expect to get greater as one of the elites takes more power.</w:t>
      </w:r>
      <w:r w:rsidR="009070AE">
        <w:rPr>
          <w:rStyle w:val="FootnoteReference"/>
          <w:rFonts w:ascii="Palatino Linotype" w:hAnsi="Palatino Linotype"/>
          <w:sz w:val="24"/>
          <w:szCs w:val="24"/>
        </w:rPr>
        <w:footnoteReference w:id="9"/>
      </w:r>
    </w:p>
    <w:p w14:paraId="13D8C730" w14:textId="77777777" w:rsidR="009070AE" w:rsidRDefault="009070AE" w:rsidP="002349B6">
      <w:pPr>
        <w:ind w:firstLine="720"/>
        <w:rPr>
          <w:rFonts w:ascii="Palatino Linotype" w:hAnsi="Palatino Linotype"/>
          <w:sz w:val="24"/>
          <w:szCs w:val="24"/>
        </w:rPr>
      </w:pPr>
    </w:p>
    <w:p w14:paraId="5ADD1F44" w14:textId="3CBF597C" w:rsidR="002349B6" w:rsidRPr="002349B6" w:rsidRDefault="002349B6" w:rsidP="002349B6">
      <w:pPr>
        <w:ind w:firstLine="720"/>
        <w:rPr>
          <w:rFonts w:ascii="Palatino Linotype" w:hAnsi="Palatino Linotype"/>
          <w:sz w:val="24"/>
          <w:szCs w:val="24"/>
        </w:rPr>
      </w:pPr>
      <w:r w:rsidRPr="002349B6">
        <w:rPr>
          <w:rFonts w:ascii="Palatino Linotype" w:hAnsi="Palatino Linotype"/>
          <w:sz w:val="24"/>
          <w:szCs w:val="24"/>
        </w:rPr>
        <w:t>As it relates to our discussion, I would argue that theological clarity regarding biblical anthropology has been compromised in favor of the authority we have given to psychiatry in the name of science.</w:t>
      </w:r>
    </w:p>
    <w:p w14:paraId="77025C7B" w14:textId="77777777" w:rsidR="009070AE" w:rsidRDefault="009070AE" w:rsidP="002349B6">
      <w:pPr>
        <w:ind w:firstLine="720"/>
        <w:rPr>
          <w:rFonts w:ascii="Palatino Linotype" w:hAnsi="Palatino Linotype"/>
          <w:sz w:val="24"/>
          <w:szCs w:val="24"/>
        </w:rPr>
      </w:pPr>
    </w:p>
    <w:p w14:paraId="70054D8A" w14:textId="38ECFF13" w:rsidR="002349B6" w:rsidRPr="002349B6" w:rsidRDefault="002349B6" w:rsidP="002349B6">
      <w:pPr>
        <w:ind w:firstLine="720"/>
        <w:rPr>
          <w:rFonts w:ascii="Palatino Linotype" w:hAnsi="Palatino Linotype"/>
          <w:sz w:val="24"/>
          <w:szCs w:val="24"/>
        </w:rPr>
      </w:pPr>
      <w:r w:rsidRPr="002349B6">
        <w:rPr>
          <w:rFonts w:ascii="Palatino Linotype" w:hAnsi="Palatino Linotype"/>
          <w:sz w:val="24"/>
          <w:szCs w:val="24"/>
        </w:rPr>
        <w:t>You may be wondering why we would go to such great lengths to discuss and research secular theories proposed by psychology and psychiatry. In the end, if these approaches are properly categorized as philosophical approaches, they are no longer viewed as “science” to be considered and incorporated within a biblical framework, but competitors seeking to explain and treat the deep vexations of the human soul. These approaches begin to be seen for what they are, “empty philosophies and vain deceptions,” which dull our views of Scripture and its vitality for explaining our human woes or the necessity of the Scripture to provide hope, meaning, and purpose for life on earth as we long for the blessed appearing of Christ.</w:t>
      </w:r>
    </w:p>
    <w:p w14:paraId="2E052D98" w14:textId="77777777" w:rsidR="009070AE" w:rsidRDefault="009070AE" w:rsidP="002349B6">
      <w:pPr>
        <w:ind w:firstLine="720"/>
        <w:rPr>
          <w:rFonts w:ascii="Palatino Linotype" w:hAnsi="Palatino Linotype"/>
          <w:sz w:val="24"/>
          <w:szCs w:val="24"/>
        </w:rPr>
      </w:pPr>
    </w:p>
    <w:p w14:paraId="167C9F2C" w14:textId="18C3E3C1" w:rsidR="002349B6" w:rsidRPr="002349B6" w:rsidRDefault="002349B6" w:rsidP="002349B6">
      <w:pPr>
        <w:ind w:firstLine="720"/>
        <w:rPr>
          <w:rFonts w:ascii="Palatino Linotype" w:hAnsi="Palatino Linotype"/>
          <w:sz w:val="24"/>
          <w:szCs w:val="24"/>
        </w:rPr>
      </w:pPr>
      <w:r w:rsidRPr="002349B6">
        <w:rPr>
          <w:rFonts w:ascii="Palatino Linotype" w:hAnsi="Palatino Linotype"/>
          <w:sz w:val="24"/>
          <w:szCs w:val="24"/>
        </w:rPr>
        <w:t>There are several ways that sin can be minimized. Some minimize sinfulness by justifying their unrighteous responses. Others minimize the gravity of sin by clinging to man as inherently good. Our culture minimizes sin by these ways, but also by recategorizing our attitudinal, emotional, and behavioral responses not as stewardship of worship to God, but as disorders for which we are not responsible. We are, however, by nature sinners, therefore, it should be no surprise that our bodies are decaying, and our emotions, attitudes, and behaviors often miss the mark. We are unstable when not leaning on the eternal hope in Christ and we must cease diagnosing these expressions, which lack faith, as mental problems. Rather than victims of our biology or environment, we are truly victims of our own nature and the curse of sin upon creation—a problem of our own making to which we consistently contribute. The better way to view humanity is as a steward with responsibility to God first, rather than victims of uncontrollable mental forces.</w:t>
      </w:r>
    </w:p>
    <w:p w14:paraId="1E4A1D16" w14:textId="77777777" w:rsidR="002349B6" w:rsidRDefault="002349B6" w:rsidP="002349B6">
      <w:pPr>
        <w:ind w:firstLine="720"/>
        <w:rPr>
          <w:rFonts w:ascii="Palatino Linotype" w:hAnsi="Palatino Linotype"/>
          <w:sz w:val="24"/>
          <w:szCs w:val="24"/>
        </w:rPr>
      </w:pPr>
    </w:p>
    <w:p w14:paraId="44E22FFF" w14:textId="77777777" w:rsidR="002349B6" w:rsidRPr="002349B6" w:rsidRDefault="002349B6" w:rsidP="002349B6">
      <w:pPr>
        <w:ind w:firstLine="720"/>
        <w:rPr>
          <w:rFonts w:ascii="Palatino Linotype" w:hAnsi="Palatino Linotype"/>
          <w:sz w:val="24"/>
          <w:szCs w:val="24"/>
        </w:rPr>
      </w:pPr>
      <w:r w:rsidRPr="002349B6">
        <w:rPr>
          <w:rFonts w:ascii="Palatino Linotype" w:hAnsi="Palatino Linotype"/>
          <w:sz w:val="24"/>
          <w:szCs w:val="24"/>
        </w:rPr>
        <w:lastRenderedPageBreak/>
        <w:t>Victims we may be, but of our own sinful deception and blindness rather than simple prisoners of our own biology. I am not here minimizing our biology, it is certainly broken, but we must respond to God despite our circumstances with a heart and disposition devoted to His great salvation.</w:t>
      </w:r>
    </w:p>
    <w:p w14:paraId="737A5F36" w14:textId="77777777" w:rsidR="009070AE" w:rsidRDefault="009070AE" w:rsidP="002349B6">
      <w:pPr>
        <w:ind w:firstLine="720"/>
        <w:rPr>
          <w:rFonts w:ascii="Palatino Linotype" w:hAnsi="Palatino Linotype"/>
          <w:sz w:val="24"/>
          <w:szCs w:val="24"/>
        </w:rPr>
      </w:pPr>
    </w:p>
    <w:p w14:paraId="34583456" w14:textId="30A2E00F" w:rsidR="002349B6" w:rsidRPr="002349B6" w:rsidRDefault="002349B6" w:rsidP="002349B6">
      <w:pPr>
        <w:ind w:firstLine="720"/>
        <w:rPr>
          <w:rFonts w:ascii="Palatino Linotype" w:hAnsi="Palatino Linotype"/>
          <w:sz w:val="24"/>
          <w:szCs w:val="24"/>
        </w:rPr>
      </w:pPr>
      <w:r w:rsidRPr="002349B6">
        <w:rPr>
          <w:rFonts w:ascii="Palatino Linotype" w:hAnsi="Palatino Linotype"/>
          <w:sz w:val="24"/>
          <w:szCs w:val="24"/>
        </w:rPr>
        <w:t>Robert Whitaker is a well-known journalist who has been writing on the issues of modern psychiatry for a few decades. As a former Harvard medical journalist, he reported for years consistent with a narrative of psychiatry that is most common within our culture. However, he began to ask important questions relative to the narrative of psychiatric advancements. Out of curiosity he began to question whether the advancements in modern psychiatry were scientifically validated. He will help to explain that the narrative regarding the advancements of modern psychiatry do not present nearly the scientific vigor assumed among the general population.</w:t>
      </w:r>
    </w:p>
    <w:p w14:paraId="3A94637C" w14:textId="77777777" w:rsidR="009070AE" w:rsidRDefault="009070AE" w:rsidP="002349B6">
      <w:pPr>
        <w:ind w:firstLine="720"/>
        <w:rPr>
          <w:rFonts w:ascii="Palatino Linotype" w:hAnsi="Palatino Linotype"/>
          <w:sz w:val="24"/>
          <w:szCs w:val="24"/>
        </w:rPr>
      </w:pPr>
    </w:p>
    <w:p w14:paraId="36DC93E5" w14:textId="75077806" w:rsidR="002349B6" w:rsidRPr="002349B6" w:rsidRDefault="002349B6" w:rsidP="002349B6">
      <w:pPr>
        <w:ind w:firstLine="720"/>
        <w:rPr>
          <w:rFonts w:ascii="Palatino Linotype" w:hAnsi="Palatino Linotype"/>
          <w:sz w:val="24"/>
          <w:szCs w:val="24"/>
        </w:rPr>
      </w:pPr>
      <w:r w:rsidRPr="002349B6">
        <w:rPr>
          <w:rFonts w:ascii="Palatino Linotype" w:hAnsi="Palatino Linotype"/>
          <w:sz w:val="24"/>
          <w:szCs w:val="24"/>
        </w:rPr>
        <w:t>Dr. Jenn Chen helps us understand the myths associated with neurological research. She is not attempting to invalidate the pursuit of neurology as a science but warns against many of the fallacies associated with this highly complex pursuit of knowledge. She raises questions regarding the many ways that counseling methods appeal to neuroscience in order to promote their theories or validate their treatment approaches. One unintended consequence is that sound neurology has unfortunately become the victim of a plethora of practitioners attempting to validate their counseling philosophies.</w:t>
      </w:r>
    </w:p>
    <w:p w14:paraId="0619A313" w14:textId="77777777" w:rsidR="009070AE" w:rsidRDefault="009070AE" w:rsidP="002349B6">
      <w:pPr>
        <w:ind w:firstLine="720"/>
        <w:rPr>
          <w:rFonts w:ascii="Palatino Linotype" w:hAnsi="Palatino Linotype"/>
          <w:sz w:val="24"/>
          <w:szCs w:val="24"/>
        </w:rPr>
      </w:pPr>
    </w:p>
    <w:p w14:paraId="47228B10" w14:textId="69B955B3" w:rsidR="002349B6" w:rsidRPr="002349B6" w:rsidRDefault="002349B6" w:rsidP="002349B6">
      <w:pPr>
        <w:ind w:firstLine="720"/>
        <w:rPr>
          <w:rFonts w:ascii="Palatino Linotype" w:hAnsi="Palatino Linotype"/>
          <w:sz w:val="24"/>
          <w:szCs w:val="24"/>
        </w:rPr>
      </w:pPr>
      <w:r w:rsidRPr="002349B6">
        <w:rPr>
          <w:rFonts w:ascii="Palatino Linotype" w:hAnsi="Palatino Linotype"/>
          <w:sz w:val="24"/>
          <w:szCs w:val="24"/>
        </w:rPr>
        <w:t>Dr. Daniel Berger addresses the topic of phenomenology. Secular theories are systems bound to worldviews. Methodologies are entrenched within their systems of approach, because methodologies are simply attempts to repair what is deemed broken by any given system. Biological reductionism is one such myth which has pervaded the practice of psychiatry.</w:t>
      </w:r>
    </w:p>
    <w:p w14:paraId="141AE53D" w14:textId="77777777" w:rsidR="009070AE" w:rsidRDefault="009070AE" w:rsidP="002349B6">
      <w:pPr>
        <w:ind w:firstLine="720"/>
        <w:rPr>
          <w:rFonts w:ascii="Palatino Linotype" w:hAnsi="Palatino Linotype"/>
          <w:sz w:val="24"/>
          <w:szCs w:val="24"/>
        </w:rPr>
      </w:pPr>
    </w:p>
    <w:p w14:paraId="133DBA9C" w14:textId="65D9749D" w:rsidR="002349B6" w:rsidRPr="002349B6" w:rsidRDefault="002349B6" w:rsidP="002349B6">
      <w:pPr>
        <w:ind w:firstLine="720"/>
        <w:rPr>
          <w:rFonts w:ascii="Palatino Linotype" w:hAnsi="Palatino Linotype"/>
          <w:sz w:val="24"/>
          <w:szCs w:val="24"/>
        </w:rPr>
      </w:pPr>
      <w:r w:rsidRPr="002349B6">
        <w:rPr>
          <w:rFonts w:ascii="Palatino Linotype" w:hAnsi="Palatino Linotype"/>
          <w:sz w:val="24"/>
          <w:szCs w:val="24"/>
        </w:rPr>
        <w:t>Finally, Dr. Lee Edmonds attempts to bring clarity to modern myths regarding psychiatric medication. While certain medications may be helpful for temporary symptom relief, contrary to popular belief, psychiatric medications are not curative. The chemical imbalance theory has been deemed as a myth as far back as 1984 in the U.S. and many modern psychiatrists have been willing to admit the lack of science to validate the long-held belief.</w:t>
      </w:r>
      <w:r w:rsidR="009070AE">
        <w:rPr>
          <w:rStyle w:val="FootnoteReference"/>
          <w:rFonts w:ascii="Palatino Linotype" w:hAnsi="Palatino Linotype"/>
          <w:sz w:val="24"/>
          <w:szCs w:val="24"/>
        </w:rPr>
        <w:footnoteReference w:id="10"/>
      </w:r>
    </w:p>
    <w:p w14:paraId="4594783C" w14:textId="77777777" w:rsidR="002349B6" w:rsidRPr="002349B6" w:rsidRDefault="002349B6" w:rsidP="002349B6">
      <w:pPr>
        <w:ind w:firstLine="720"/>
        <w:rPr>
          <w:rFonts w:ascii="Palatino Linotype" w:hAnsi="Palatino Linotype"/>
        </w:rPr>
      </w:pPr>
      <w:r w:rsidRPr="002349B6">
        <w:rPr>
          <w:rFonts w:ascii="Palatino Linotype" w:hAnsi="Palatino Linotype"/>
          <w:sz w:val="24"/>
          <w:szCs w:val="24"/>
        </w:rPr>
        <w:lastRenderedPageBreak/>
        <w:t>ACBC Essays are a product of our biennial colloquiums, which are hosted to encourage Christ-like dialogue and academic enterprise amongst leaders in the world of biblical</w:t>
      </w:r>
      <w:r>
        <w:rPr>
          <w:rFonts w:ascii="Palatino Linotype" w:hAnsi="Palatino Linotype"/>
          <w:sz w:val="24"/>
          <w:szCs w:val="24"/>
        </w:rPr>
        <w:t xml:space="preserve"> </w:t>
      </w:r>
      <w:r w:rsidRPr="002349B6">
        <w:rPr>
          <w:rFonts w:ascii="Palatino Linotype" w:hAnsi="Palatino Linotype"/>
        </w:rPr>
        <w:t>counseling. The essays included in this volume are a product of the 2021 Colloquium titled, Myths of Modern Psychiatry, and are not the work of any employees of ACBC. While each author writes within the Standards of Doctrine and Conduct of ACBC, please understand that there may be a variation of opinions regarding their approach, even among members of ACBC. We pray these essays will bolster discussions on the topic of psychiatry and its practices, as we grow in discernment, guarding against empty philosophies, for the glory of Christ and the strengthening of His people.</w:t>
      </w:r>
    </w:p>
    <w:p w14:paraId="422CA553" w14:textId="6BD56465" w:rsidR="002349B6" w:rsidRDefault="002349B6" w:rsidP="002349B6">
      <w:pPr>
        <w:ind w:firstLine="720"/>
        <w:rPr>
          <w:rFonts w:ascii="Palatino Linotype" w:hAnsi="Palatino Linotype"/>
          <w:sz w:val="24"/>
          <w:szCs w:val="24"/>
        </w:rPr>
      </w:pPr>
    </w:p>
    <w:p w14:paraId="605608B9" w14:textId="77777777" w:rsidR="0016311B" w:rsidRDefault="0016311B" w:rsidP="002349B6">
      <w:pPr>
        <w:ind w:firstLine="720"/>
        <w:rPr>
          <w:rFonts w:ascii="Palatino Linotype" w:hAnsi="Palatino Linotype"/>
          <w:sz w:val="24"/>
          <w:szCs w:val="24"/>
        </w:rPr>
        <w:sectPr w:rsidR="0016311B" w:rsidSect="001335A1">
          <w:footerReference w:type="even" r:id="rId8"/>
          <w:footerReference w:type="default" r:id="rId9"/>
          <w:pgSz w:w="12240" w:h="15840"/>
          <w:pgMar w:top="1440" w:right="1440" w:bottom="1440" w:left="1440" w:header="720" w:footer="720" w:gutter="0"/>
          <w:pgNumType w:start="0"/>
          <w:cols w:space="720"/>
          <w:titlePg/>
          <w:docGrid w:linePitch="360"/>
        </w:sectPr>
      </w:pPr>
    </w:p>
    <w:p w14:paraId="77A742D9" w14:textId="77777777" w:rsidR="009070AE" w:rsidRDefault="009070AE" w:rsidP="002349B6">
      <w:pPr>
        <w:ind w:firstLine="720"/>
        <w:rPr>
          <w:rFonts w:ascii="Palatino Linotype" w:hAnsi="Palatino Linotype"/>
          <w:sz w:val="24"/>
          <w:szCs w:val="24"/>
        </w:rPr>
        <w:sectPr w:rsidR="009070AE">
          <w:pgSz w:w="12240" w:h="15840"/>
          <w:pgMar w:top="1440" w:right="1440" w:bottom="1440" w:left="1440" w:header="720" w:footer="720" w:gutter="0"/>
          <w:cols w:space="720"/>
          <w:docGrid w:linePitch="360"/>
        </w:sectPr>
      </w:pPr>
    </w:p>
    <w:p w14:paraId="52F7633F" w14:textId="77777777" w:rsidR="009070AE" w:rsidRPr="002349B6" w:rsidRDefault="009070AE" w:rsidP="00473B3D">
      <w:pPr>
        <w:ind w:firstLine="720"/>
        <w:jc w:val="center"/>
        <w:rPr>
          <w:rFonts w:ascii="Palatino Linotype" w:hAnsi="Palatino Linotype"/>
          <w:sz w:val="24"/>
          <w:szCs w:val="24"/>
        </w:rPr>
      </w:pPr>
    </w:p>
    <w:p w14:paraId="698CB56A" w14:textId="77777777" w:rsidR="002349B6" w:rsidRPr="00E85B4E" w:rsidRDefault="002349B6" w:rsidP="00473B3D">
      <w:pPr>
        <w:ind w:firstLine="720"/>
        <w:jc w:val="center"/>
        <w:rPr>
          <w:rFonts w:ascii="Palatino Linotype" w:hAnsi="Palatino Linotype"/>
          <w:sz w:val="24"/>
          <w:szCs w:val="24"/>
        </w:rPr>
      </w:pPr>
    </w:p>
    <w:p w14:paraId="3EC7E87C" w14:textId="1E8F814D" w:rsidR="00E85B4E" w:rsidRDefault="00473B3D" w:rsidP="00473B3D">
      <w:pPr>
        <w:jc w:val="center"/>
        <w:rPr>
          <w:rFonts w:ascii="Palatino Linotype" w:hAnsi="Palatino Linotype"/>
          <w:b/>
          <w:bCs/>
          <w:sz w:val="28"/>
          <w:szCs w:val="28"/>
        </w:rPr>
      </w:pPr>
      <w:r>
        <w:rPr>
          <w:rFonts w:ascii="Palatino Linotype" w:hAnsi="Palatino Linotype"/>
          <w:b/>
          <w:bCs/>
          <w:sz w:val="28"/>
          <w:szCs w:val="28"/>
        </w:rPr>
        <w:t>THE MYTH OF PSYCHIATRIC ADVANCE</w:t>
      </w:r>
    </w:p>
    <w:p w14:paraId="3328954A" w14:textId="77777777" w:rsidR="00473B3D" w:rsidRDefault="00473B3D" w:rsidP="00473B3D">
      <w:pPr>
        <w:jc w:val="center"/>
        <w:rPr>
          <w:rFonts w:ascii="Palatino Linotype" w:hAnsi="Palatino Linotype"/>
          <w:b/>
          <w:bCs/>
          <w:sz w:val="28"/>
          <w:szCs w:val="28"/>
        </w:rPr>
      </w:pPr>
    </w:p>
    <w:p w14:paraId="09833DF7" w14:textId="6BBF2230" w:rsidR="00473B3D" w:rsidRDefault="00473B3D" w:rsidP="00473B3D">
      <w:pPr>
        <w:jc w:val="center"/>
        <w:rPr>
          <w:rFonts w:ascii="Palatino Linotype" w:hAnsi="Palatino Linotype"/>
          <w:b/>
          <w:bCs/>
          <w:i/>
          <w:iCs/>
          <w:sz w:val="28"/>
          <w:szCs w:val="28"/>
        </w:rPr>
      </w:pPr>
      <w:r w:rsidRPr="00473B3D">
        <w:rPr>
          <w:rFonts w:ascii="Palatino Linotype" w:hAnsi="Palatino Linotype"/>
          <w:b/>
          <w:bCs/>
          <w:i/>
          <w:iCs/>
          <w:sz w:val="28"/>
          <w:szCs w:val="28"/>
        </w:rPr>
        <w:t>BY ROBERT WHITAKER</w:t>
      </w:r>
    </w:p>
    <w:p w14:paraId="480609AB" w14:textId="77777777" w:rsidR="00473B3D" w:rsidRDefault="00473B3D" w:rsidP="00473B3D">
      <w:pPr>
        <w:jc w:val="center"/>
        <w:rPr>
          <w:rFonts w:ascii="Palatino Linotype" w:hAnsi="Palatino Linotype"/>
          <w:b/>
          <w:bCs/>
          <w:i/>
          <w:iCs/>
          <w:sz w:val="28"/>
          <w:szCs w:val="28"/>
        </w:rPr>
      </w:pPr>
    </w:p>
    <w:p w14:paraId="68807E25" w14:textId="77777777" w:rsidR="00473B3D" w:rsidRDefault="00473B3D" w:rsidP="00473B3D">
      <w:pPr>
        <w:jc w:val="center"/>
        <w:rPr>
          <w:rFonts w:ascii="Palatino Linotype" w:hAnsi="Palatino Linotype"/>
          <w:b/>
          <w:bCs/>
          <w:i/>
          <w:iCs/>
          <w:sz w:val="28"/>
          <w:szCs w:val="28"/>
        </w:rPr>
      </w:pPr>
    </w:p>
    <w:p w14:paraId="17776A80" w14:textId="77777777" w:rsidR="0016311B" w:rsidRDefault="0016311B" w:rsidP="00473B3D">
      <w:pPr>
        <w:jc w:val="center"/>
        <w:rPr>
          <w:rFonts w:ascii="Palatino Linotype" w:hAnsi="Palatino Linotype"/>
          <w:b/>
          <w:bCs/>
          <w:i/>
          <w:iCs/>
          <w:sz w:val="28"/>
          <w:szCs w:val="28"/>
        </w:rPr>
      </w:pPr>
    </w:p>
    <w:p w14:paraId="1D479A4C" w14:textId="16646045" w:rsidR="00473B3D" w:rsidRDefault="00473B3D" w:rsidP="00473B3D">
      <w:pPr>
        <w:jc w:val="center"/>
        <w:rPr>
          <w:rFonts w:ascii="Palatino Linotype" w:hAnsi="Palatino Linotype"/>
          <w:b/>
          <w:bCs/>
          <w:sz w:val="28"/>
          <w:szCs w:val="28"/>
        </w:rPr>
      </w:pPr>
      <w:r w:rsidRPr="00473B3D">
        <w:rPr>
          <w:rFonts w:ascii="Palatino Linotype" w:hAnsi="Palatino Linotype"/>
          <w:b/>
          <w:bCs/>
          <w:sz w:val="28"/>
          <w:szCs w:val="28"/>
        </w:rPr>
        <w:t>Introduction</w:t>
      </w:r>
    </w:p>
    <w:p w14:paraId="67516DC2" w14:textId="77777777" w:rsidR="00702946" w:rsidRDefault="00702946" w:rsidP="00702946">
      <w:pPr>
        <w:rPr>
          <w:rFonts w:ascii="Palatino Linotype" w:hAnsi="Palatino Linotype"/>
          <w:b/>
          <w:bCs/>
          <w:sz w:val="28"/>
          <w:szCs w:val="28"/>
        </w:rPr>
      </w:pPr>
    </w:p>
    <w:p w14:paraId="1E28FECC" w14:textId="77777777" w:rsidR="00702946" w:rsidRPr="00702946" w:rsidRDefault="00702946" w:rsidP="0016311B">
      <w:pPr>
        <w:ind w:firstLine="720"/>
        <w:rPr>
          <w:rFonts w:ascii="Palatino Linotype" w:hAnsi="Palatino Linotype"/>
          <w:sz w:val="24"/>
          <w:szCs w:val="24"/>
        </w:rPr>
      </w:pPr>
      <w:r w:rsidRPr="00702946">
        <w:rPr>
          <w:rFonts w:ascii="Palatino Linotype" w:hAnsi="Palatino Linotype"/>
          <w:sz w:val="24"/>
          <w:szCs w:val="24"/>
        </w:rPr>
        <w:t>Conventional histories of psychiatry tell of how the field, over the past sixty-five years, has made great advances in understanding the biology of mental disorders and developing effective drug treatments for such ailments. This story of progress can be broken down into three parts.</w:t>
      </w:r>
    </w:p>
    <w:p w14:paraId="5D597DAE" w14:textId="77777777" w:rsidR="0016311B" w:rsidRDefault="0016311B" w:rsidP="0016311B">
      <w:pPr>
        <w:ind w:firstLine="720"/>
        <w:rPr>
          <w:rFonts w:ascii="Palatino Linotype" w:hAnsi="Palatino Linotype"/>
          <w:sz w:val="24"/>
          <w:szCs w:val="24"/>
        </w:rPr>
      </w:pPr>
    </w:p>
    <w:p w14:paraId="25C38D3C" w14:textId="61B5E252" w:rsidR="00702946" w:rsidRPr="00702946" w:rsidRDefault="00702946" w:rsidP="0016311B">
      <w:pPr>
        <w:ind w:firstLine="720"/>
        <w:rPr>
          <w:rFonts w:ascii="Palatino Linotype" w:hAnsi="Palatino Linotype"/>
          <w:sz w:val="24"/>
          <w:szCs w:val="24"/>
        </w:rPr>
      </w:pPr>
      <w:r w:rsidRPr="00702946">
        <w:rPr>
          <w:rFonts w:ascii="Palatino Linotype" w:hAnsi="Palatino Linotype"/>
          <w:sz w:val="24"/>
          <w:szCs w:val="24"/>
        </w:rPr>
        <w:t xml:space="preserve">The conventional narrative begins with the introduction of chlorpromazine, marketed as Thorazine, into asylum medicine in 1955. This drug is remembered today as the first “antipsychotic,” a name that tells of a drug that is an antidote to psychosis, much like an antibiotic is an antidote to a bacterial infection. The discovery of “antipsychotics” is said to have made deinstitutionalization possible. Thanks to the new drugs, wrote Edward Shorter, in his book </w:t>
      </w:r>
      <w:r w:rsidRPr="00702946">
        <w:rPr>
          <w:rFonts w:ascii="Palatino Linotype" w:hAnsi="Palatino Linotype"/>
          <w:i/>
          <w:sz w:val="24"/>
          <w:szCs w:val="24"/>
        </w:rPr>
        <w:t xml:space="preserve">A History of Psychiatry, </w:t>
      </w:r>
      <w:r w:rsidRPr="00702946">
        <w:rPr>
          <w:rFonts w:ascii="Palatino Linotype" w:hAnsi="Palatino Linotype"/>
          <w:sz w:val="24"/>
          <w:szCs w:val="24"/>
        </w:rPr>
        <w:t>schizophrenia patients could now “lead relatively normal lives and not be confined to institutions.”</w:t>
      </w:r>
      <w:r w:rsidR="0016311B">
        <w:rPr>
          <w:rStyle w:val="FootnoteReference"/>
          <w:rFonts w:ascii="Palatino Linotype" w:hAnsi="Palatino Linotype"/>
          <w:sz w:val="24"/>
          <w:szCs w:val="24"/>
        </w:rPr>
        <w:footnoteReference w:id="11"/>
      </w:r>
    </w:p>
    <w:p w14:paraId="790025D1" w14:textId="77777777" w:rsidR="0016311B" w:rsidRDefault="0016311B" w:rsidP="0016311B">
      <w:pPr>
        <w:ind w:firstLine="720"/>
        <w:rPr>
          <w:rFonts w:ascii="Palatino Linotype" w:hAnsi="Palatino Linotype"/>
          <w:sz w:val="24"/>
          <w:szCs w:val="24"/>
        </w:rPr>
      </w:pPr>
    </w:p>
    <w:p w14:paraId="5A0E0851" w14:textId="69AEFBD6" w:rsidR="00702946" w:rsidRPr="00702946" w:rsidRDefault="00702946" w:rsidP="0016311B">
      <w:pPr>
        <w:ind w:firstLine="720"/>
        <w:rPr>
          <w:rFonts w:ascii="Palatino Linotype" w:hAnsi="Palatino Linotype"/>
          <w:sz w:val="24"/>
          <w:szCs w:val="24"/>
        </w:rPr>
      </w:pPr>
      <w:r w:rsidRPr="00702946">
        <w:rPr>
          <w:rFonts w:ascii="Palatino Linotype" w:hAnsi="Palatino Linotype"/>
          <w:sz w:val="24"/>
          <w:szCs w:val="24"/>
        </w:rPr>
        <w:t xml:space="preserve">After chlorpromazine arrived, psychiatry soon announced that new “antidepressant” and “anti-anxiety” medications had been discovered. The field had had drugs—or so it seemed—that were specific to these various diagnoses, and this is said to have kicked off a “psychopharmacological revolution.” Psychiatry, wrote U.S. Surgeon General David Satcher in a report titled </w:t>
      </w:r>
      <w:r w:rsidRPr="00702946">
        <w:rPr>
          <w:rFonts w:ascii="Palatino Linotype" w:hAnsi="Palatino Linotype"/>
          <w:i/>
          <w:sz w:val="24"/>
          <w:szCs w:val="24"/>
        </w:rPr>
        <w:t xml:space="preserve">Mental Health, </w:t>
      </w:r>
      <w:r w:rsidRPr="00702946">
        <w:rPr>
          <w:rFonts w:ascii="Palatino Linotype" w:hAnsi="Palatino Linotype"/>
          <w:sz w:val="24"/>
          <w:szCs w:val="24"/>
        </w:rPr>
        <w:t>now had treatments that could “prevent patients from becoming chronically ill.”</w:t>
      </w:r>
      <w:r w:rsidR="0016311B">
        <w:rPr>
          <w:rStyle w:val="FootnoteReference"/>
          <w:rFonts w:ascii="Palatino Linotype" w:hAnsi="Palatino Linotype"/>
          <w:sz w:val="24"/>
          <w:szCs w:val="24"/>
        </w:rPr>
        <w:footnoteReference w:id="12"/>
      </w:r>
    </w:p>
    <w:p w14:paraId="4E20C424" w14:textId="77777777" w:rsidR="0016311B" w:rsidRDefault="0016311B" w:rsidP="0016311B">
      <w:pPr>
        <w:ind w:firstLine="720"/>
        <w:rPr>
          <w:rFonts w:ascii="Palatino Linotype" w:hAnsi="Palatino Linotype"/>
          <w:sz w:val="24"/>
          <w:szCs w:val="24"/>
        </w:rPr>
      </w:pPr>
    </w:p>
    <w:p w14:paraId="6761FD3D" w14:textId="19B84AF8" w:rsidR="00702946" w:rsidRPr="00702946" w:rsidRDefault="00702946" w:rsidP="0016311B">
      <w:pPr>
        <w:ind w:firstLine="720"/>
        <w:rPr>
          <w:rFonts w:ascii="Palatino Linotype" w:hAnsi="Palatino Linotype"/>
          <w:sz w:val="24"/>
          <w:szCs w:val="24"/>
        </w:rPr>
      </w:pPr>
      <w:r w:rsidRPr="00702946">
        <w:rPr>
          <w:rFonts w:ascii="Palatino Linotype" w:hAnsi="Palatino Linotype"/>
          <w:sz w:val="24"/>
          <w:szCs w:val="24"/>
        </w:rPr>
        <w:t xml:space="preserve">The second part of this narrative of progress dates back to 1980, when the the American Psychiatric Association (APA) published the third edition of its </w:t>
      </w:r>
      <w:r w:rsidRPr="00702946">
        <w:rPr>
          <w:rFonts w:ascii="Palatino Linotype" w:hAnsi="Palatino Linotype"/>
          <w:i/>
          <w:sz w:val="24"/>
          <w:szCs w:val="24"/>
        </w:rPr>
        <w:t xml:space="preserve">Diagnostic and Statistical Manual </w:t>
      </w:r>
      <w:r w:rsidRPr="00702946">
        <w:rPr>
          <w:rFonts w:ascii="Palatino Linotype" w:hAnsi="Palatino Linotype"/>
          <w:sz w:val="24"/>
          <w:szCs w:val="24"/>
        </w:rPr>
        <w:t xml:space="preserve">(DSM III). The first two editions of the DSM drew heavily on Freudian conceptions of “neurosis,” but with this new edition, the APA stated it had adopted a “medical model.” Diagnoses would be made according to the presence of the </w:t>
      </w:r>
      <w:r w:rsidRPr="00702946">
        <w:rPr>
          <w:rFonts w:ascii="Palatino Linotype" w:hAnsi="Palatino Linotype"/>
          <w:sz w:val="24"/>
          <w:szCs w:val="24"/>
        </w:rPr>
        <w:lastRenderedPageBreak/>
        <w:t>“symptoms” of a disease.</w:t>
      </w:r>
    </w:p>
    <w:p w14:paraId="45F67876" w14:textId="77777777" w:rsidR="0016311B" w:rsidRDefault="0016311B" w:rsidP="0016311B">
      <w:pPr>
        <w:ind w:firstLine="720"/>
        <w:rPr>
          <w:rFonts w:ascii="Palatino Linotype" w:hAnsi="Palatino Linotype"/>
          <w:sz w:val="24"/>
          <w:szCs w:val="24"/>
        </w:rPr>
      </w:pPr>
    </w:p>
    <w:p w14:paraId="7FA02FBE" w14:textId="3A11C898" w:rsidR="00702946" w:rsidRPr="00702946" w:rsidRDefault="00702946" w:rsidP="0016311B">
      <w:pPr>
        <w:ind w:firstLine="720"/>
        <w:rPr>
          <w:rFonts w:ascii="Palatino Linotype" w:hAnsi="Palatino Linotype"/>
          <w:sz w:val="24"/>
          <w:szCs w:val="24"/>
        </w:rPr>
      </w:pPr>
      <w:r w:rsidRPr="00702946">
        <w:rPr>
          <w:rFonts w:ascii="Palatino Linotype" w:hAnsi="Palatino Linotype"/>
          <w:sz w:val="24"/>
          <w:szCs w:val="24"/>
        </w:rPr>
        <w:t>“The development of DSM III,” wrote Gerald Klerman, a former director of the National Institute of Mental Health, “represents a fateful point in the history of the American psychiatric</w:t>
      </w:r>
      <w:r w:rsidR="0016311B">
        <w:rPr>
          <w:rFonts w:ascii="Palatino Linotype" w:hAnsi="Palatino Linotype"/>
          <w:sz w:val="24"/>
          <w:szCs w:val="24"/>
        </w:rPr>
        <w:t xml:space="preserve"> </w:t>
      </w:r>
      <w:r w:rsidR="0016311B" w:rsidRPr="00702946">
        <w:rPr>
          <w:rFonts w:ascii="Palatino Linotype" w:hAnsi="Palatino Linotype"/>
          <w:sz w:val="24"/>
          <w:szCs w:val="24"/>
        </w:rPr>
        <w:t>P</w:t>
      </w:r>
      <w:r w:rsidRPr="00702946">
        <w:rPr>
          <w:rFonts w:ascii="Palatino Linotype" w:hAnsi="Palatino Linotype"/>
          <w:sz w:val="24"/>
          <w:szCs w:val="24"/>
        </w:rPr>
        <w:t>rofession</w:t>
      </w:r>
      <w:r w:rsidR="0016311B">
        <w:rPr>
          <w:rFonts w:ascii="Palatino Linotype" w:hAnsi="Palatino Linotype"/>
          <w:sz w:val="24"/>
          <w:szCs w:val="24"/>
        </w:rPr>
        <w:t xml:space="preserve">… </w:t>
      </w:r>
      <w:r w:rsidRPr="00702946">
        <w:rPr>
          <w:rFonts w:ascii="Palatino Linotype" w:hAnsi="Palatino Linotype"/>
          <w:sz w:val="24"/>
          <w:szCs w:val="24"/>
        </w:rPr>
        <w:t>its use represents a reaffirmation on the part of American psychiatry to its medical identity and its commitment to scientific medicine.”</w:t>
      </w:r>
      <w:r w:rsidR="0016311B">
        <w:rPr>
          <w:rStyle w:val="FootnoteReference"/>
          <w:rFonts w:ascii="Palatino Linotype" w:hAnsi="Palatino Linotype"/>
          <w:sz w:val="24"/>
          <w:szCs w:val="24"/>
        </w:rPr>
        <w:footnoteReference w:id="13"/>
      </w:r>
    </w:p>
    <w:p w14:paraId="5A1C551C" w14:textId="77777777" w:rsidR="0016311B" w:rsidRDefault="0016311B" w:rsidP="0016311B">
      <w:pPr>
        <w:ind w:firstLine="720"/>
        <w:rPr>
          <w:rFonts w:ascii="Palatino Linotype" w:hAnsi="Palatino Linotype"/>
          <w:sz w:val="24"/>
          <w:szCs w:val="24"/>
        </w:rPr>
      </w:pPr>
    </w:p>
    <w:p w14:paraId="687EEF2F" w14:textId="29AE073E" w:rsidR="0016311B" w:rsidRDefault="00702946" w:rsidP="0016311B">
      <w:pPr>
        <w:ind w:firstLine="720"/>
        <w:rPr>
          <w:rFonts w:ascii="Palatino Linotype" w:hAnsi="Palatino Linotype"/>
          <w:sz w:val="24"/>
          <w:szCs w:val="24"/>
        </w:rPr>
      </w:pPr>
      <w:r w:rsidRPr="00702946">
        <w:rPr>
          <w:rFonts w:ascii="Palatino Linotype" w:hAnsi="Palatino Linotype"/>
          <w:sz w:val="24"/>
          <w:szCs w:val="24"/>
        </w:rPr>
        <w:t xml:space="preserve">This was the moment that psychiatry wrapped itself in a “white coat.” A few years later, Nancy Andreasen, who would become editor of the </w:t>
      </w:r>
      <w:r w:rsidRPr="00702946">
        <w:rPr>
          <w:rFonts w:ascii="Palatino Linotype" w:hAnsi="Palatino Linotype"/>
          <w:i/>
          <w:sz w:val="24"/>
          <w:szCs w:val="24"/>
        </w:rPr>
        <w:t xml:space="preserve">American Journal of Psychiatry, </w:t>
      </w:r>
      <w:r w:rsidRPr="00702946">
        <w:rPr>
          <w:rFonts w:ascii="Palatino Linotype" w:hAnsi="Palatino Linotype"/>
          <w:sz w:val="24"/>
          <w:szCs w:val="24"/>
        </w:rPr>
        <w:t xml:space="preserve">informed the public of the tenets of this new “biological psychiatry” in her book </w:t>
      </w:r>
      <w:r w:rsidRPr="00702946">
        <w:rPr>
          <w:rFonts w:ascii="Palatino Linotype" w:hAnsi="Palatino Linotype"/>
          <w:i/>
          <w:sz w:val="24"/>
          <w:szCs w:val="24"/>
        </w:rPr>
        <w:t xml:space="preserve">The Broken Brain. </w:t>
      </w:r>
      <w:r w:rsidRPr="00702946">
        <w:rPr>
          <w:rFonts w:ascii="Palatino Linotype" w:hAnsi="Palatino Linotype"/>
          <w:sz w:val="24"/>
          <w:szCs w:val="24"/>
        </w:rPr>
        <w:t>“The major psychiatric illnesses are diseases,” she wrote. “They should be considered medical illnesses just as diabetes, heart diseases, and cancer are. The emphasis in this model is on carefully diagnosing each specific illness from which the patient suffers, just as an internist or neurologist would.”</w:t>
      </w:r>
      <w:r w:rsidR="0016311B">
        <w:rPr>
          <w:rStyle w:val="FootnoteReference"/>
          <w:rFonts w:ascii="Palatino Linotype" w:hAnsi="Palatino Linotype"/>
          <w:sz w:val="24"/>
          <w:szCs w:val="24"/>
        </w:rPr>
        <w:footnoteReference w:id="14"/>
      </w:r>
    </w:p>
    <w:p w14:paraId="6D039BCB" w14:textId="77777777" w:rsidR="000A1CB0" w:rsidRDefault="000A1CB0" w:rsidP="0016311B">
      <w:pPr>
        <w:ind w:firstLine="720"/>
        <w:rPr>
          <w:rFonts w:ascii="Palatino Linotype" w:hAnsi="Palatino Linotype"/>
          <w:sz w:val="24"/>
          <w:szCs w:val="24"/>
        </w:rPr>
      </w:pPr>
    </w:p>
    <w:p w14:paraId="27415984" w14:textId="5019133B" w:rsidR="00702946" w:rsidRPr="00702946" w:rsidRDefault="00702946" w:rsidP="0016311B">
      <w:pPr>
        <w:ind w:firstLine="720"/>
        <w:rPr>
          <w:rFonts w:ascii="Palatino Linotype" w:hAnsi="Palatino Linotype"/>
          <w:sz w:val="24"/>
          <w:szCs w:val="24"/>
        </w:rPr>
      </w:pPr>
      <w:r w:rsidRPr="00702946">
        <w:rPr>
          <w:rFonts w:ascii="Palatino Linotype" w:hAnsi="Palatino Linotype"/>
          <w:sz w:val="24"/>
          <w:szCs w:val="24"/>
        </w:rPr>
        <w:t xml:space="preserve">The APA launched a PR effort to sell this new conception of mental disorders to the public, and in 1984 the </w:t>
      </w:r>
      <w:r w:rsidRPr="00702946">
        <w:rPr>
          <w:rFonts w:ascii="Palatino Linotype" w:hAnsi="Palatino Linotype"/>
          <w:i/>
          <w:sz w:val="24"/>
          <w:szCs w:val="24"/>
        </w:rPr>
        <w:t>Baltimore Evening Sun</w:t>
      </w:r>
      <w:r w:rsidRPr="00702946">
        <w:rPr>
          <w:rFonts w:ascii="Palatino Linotype" w:hAnsi="Palatino Linotype"/>
          <w:sz w:val="24"/>
          <w:szCs w:val="24"/>
        </w:rPr>
        <w:t>, picking up on this story of progress, ran a seven-part series titled “The Mind-Fixers.” The series, which won a Pulitzer Prize for expository journalism, told of how research psychiatrists were “teasing out the chemical formulas that unlock the secrets of the mind. . . . As a result, psychiatry today stands on the threshold of becoming an exact science, as precise and quantifiable as molecular genetics. Ahead lies an era of psychic engineering, and the development of specialized drugs and therapies to heal sick minds.”</w:t>
      </w:r>
      <w:r w:rsidR="0016311B">
        <w:rPr>
          <w:rStyle w:val="FootnoteReference"/>
          <w:rFonts w:ascii="Palatino Linotype" w:hAnsi="Palatino Linotype"/>
          <w:sz w:val="24"/>
          <w:szCs w:val="24"/>
        </w:rPr>
        <w:footnoteReference w:id="15"/>
      </w:r>
    </w:p>
    <w:p w14:paraId="4E3A3AC5" w14:textId="77777777" w:rsidR="000A1CB0" w:rsidRDefault="000A1CB0" w:rsidP="000A1CB0">
      <w:pPr>
        <w:ind w:firstLine="720"/>
        <w:rPr>
          <w:rFonts w:ascii="Palatino Linotype" w:hAnsi="Palatino Linotype"/>
          <w:sz w:val="24"/>
          <w:szCs w:val="24"/>
        </w:rPr>
      </w:pPr>
    </w:p>
    <w:p w14:paraId="1113D90C" w14:textId="3E7CA106" w:rsidR="00702946" w:rsidRPr="00702946" w:rsidRDefault="00702946" w:rsidP="000A1CB0">
      <w:pPr>
        <w:ind w:firstLine="720"/>
        <w:rPr>
          <w:rFonts w:ascii="Palatino Linotype" w:hAnsi="Palatino Linotype"/>
          <w:sz w:val="24"/>
          <w:szCs w:val="24"/>
        </w:rPr>
      </w:pPr>
      <w:r w:rsidRPr="00702946">
        <w:rPr>
          <w:rFonts w:ascii="Palatino Linotype" w:hAnsi="Palatino Linotype"/>
          <w:sz w:val="24"/>
          <w:szCs w:val="24"/>
        </w:rPr>
        <w:t>Four years later, the breakthrough moment arrived, and thus began part three of this story of progress. Eli Lilly brought its new drug Prozac to market, which was touted as a breakthrough medication that could make many depressed patients feel “better than well.” Soon the public was hearing that Prozac and other new SSRI antidepressants fixed a chemical imbalance in the brain, and thus were like “insulin for diabetes.” Depression was said to be due to too little serotonin in the brain, and these new drugs, by increasing serotonergic activity, were bringing this chemical back into “balance.”</w:t>
      </w:r>
    </w:p>
    <w:p w14:paraId="7415BE14" w14:textId="77777777" w:rsidR="000A1CB0" w:rsidRDefault="000A1CB0" w:rsidP="000A1CB0">
      <w:pPr>
        <w:ind w:firstLine="720"/>
        <w:rPr>
          <w:rFonts w:ascii="Palatino Linotype" w:hAnsi="Palatino Linotype"/>
          <w:sz w:val="24"/>
          <w:szCs w:val="24"/>
        </w:rPr>
      </w:pPr>
    </w:p>
    <w:p w14:paraId="417A6EC3" w14:textId="2AED7E5F" w:rsidR="00702946" w:rsidRPr="00702946" w:rsidRDefault="00702946" w:rsidP="000A1CB0">
      <w:pPr>
        <w:ind w:firstLine="720"/>
        <w:rPr>
          <w:rFonts w:ascii="Palatino Linotype" w:hAnsi="Palatino Linotype"/>
          <w:sz w:val="24"/>
          <w:szCs w:val="24"/>
        </w:rPr>
      </w:pPr>
      <w:r w:rsidRPr="00702946">
        <w:rPr>
          <w:rFonts w:ascii="Palatino Linotype" w:hAnsi="Palatino Linotype"/>
          <w:sz w:val="24"/>
          <w:szCs w:val="24"/>
        </w:rPr>
        <w:t xml:space="preserve">In the 1990s, a second generation of “atypical antipsychotics” were brought to </w:t>
      </w:r>
      <w:r w:rsidRPr="00702946">
        <w:rPr>
          <w:rFonts w:ascii="Palatino Linotype" w:hAnsi="Palatino Linotype"/>
          <w:sz w:val="24"/>
          <w:szCs w:val="24"/>
        </w:rPr>
        <w:lastRenderedPageBreak/>
        <w:t>market—Risperdal, Zyprexa, Seroquel, and so forth—and these drugs were similarly presented to the public as “breakthrough” medications. Whereas chlorpromazine and other first-generation antipsychotics helped fix a dopamine imbalance in the brain, these new drugs, the National Alliance on Mental Illness declared, “do a better job of balancing all of the brain chemicals, including dopamine and serotonin.”</w:t>
      </w:r>
      <w:r w:rsidR="0016311B">
        <w:rPr>
          <w:rStyle w:val="FootnoteReference"/>
          <w:rFonts w:ascii="Palatino Linotype" w:hAnsi="Palatino Linotype"/>
          <w:sz w:val="24"/>
          <w:szCs w:val="24"/>
        </w:rPr>
        <w:footnoteReference w:id="16"/>
      </w:r>
    </w:p>
    <w:p w14:paraId="4A0DEC9B" w14:textId="77777777" w:rsidR="000A1CB0" w:rsidRDefault="000A1CB0" w:rsidP="00702946">
      <w:pPr>
        <w:rPr>
          <w:rFonts w:ascii="Palatino Linotype" w:hAnsi="Palatino Linotype"/>
          <w:sz w:val="24"/>
          <w:szCs w:val="24"/>
        </w:rPr>
      </w:pPr>
    </w:p>
    <w:p w14:paraId="10F7FAAC" w14:textId="2CE43690" w:rsidR="00702946" w:rsidRPr="00702946" w:rsidRDefault="00702946" w:rsidP="000A1CB0">
      <w:pPr>
        <w:ind w:firstLine="720"/>
        <w:rPr>
          <w:rFonts w:ascii="Palatino Linotype" w:hAnsi="Palatino Linotype"/>
          <w:sz w:val="24"/>
          <w:szCs w:val="24"/>
        </w:rPr>
      </w:pPr>
      <w:r w:rsidRPr="00702946">
        <w:rPr>
          <w:rFonts w:ascii="Palatino Linotype" w:hAnsi="Palatino Linotype"/>
          <w:sz w:val="24"/>
          <w:szCs w:val="24"/>
        </w:rPr>
        <w:t>The chemical imbalance story told of a great scientific advance. The public was being informed that psychiatric researchers had discovered the very molecules that caused depression and schizophrenia, and that new drugs could put these molecules back into a proper balance. Given the complexity of the human brain, if this were so, it would rightfully be understood as perhaps the greatest discovery in medical history.</w:t>
      </w:r>
    </w:p>
    <w:p w14:paraId="44EDE1A1" w14:textId="77777777" w:rsidR="00702946" w:rsidRDefault="00702946" w:rsidP="00702946">
      <w:pPr>
        <w:rPr>
          <w:rFonts w:ascii="Palatino Linotype" w:hAnsi="Palatino Linotype"/>
          <w:sz w:val="24"/>
          <w:szCs w:val="24"/>
        </w:rPr>
      </w:pPr>
    </w:p>
    <w:p w14:paraId="32FCA9E6" w14:textId="05B53567" w:rsidR="00702946" w:rsidRPr="00702946" w:rsidRDefault="00702946" w:rsidP="000A1CB0">
      <w:pPr>
        <w:ind w:firstLine="720"/>
        <w:rPr>
          <w:rFonts w:ascii="Palatino Linotype" w:hAnsi="Palatino Linotype"/>
          <w:sz w:val="24"/>
          <w:szCs w:val="24"/>
        </w:rPr>
      </w:pPr>
      <w:r w:rsidRPr="00702946">
        <w:rPr>
          <w:rFonts w:ascii="Palatino Linotype" w:hAnsi="Palatino Linotype"/>
          <w:sz w:val="24"/>
          <w:szCs w:val="24"/>
        </w:rPr>
        <w:t>With that story of chemical imbalances implanted in the American mind, the diagnoses of mental disorders and prescribing of psychiatric drugs soared. Spending on psychiatric drugs in the United States rose from around $800 million in 1987 to more than $40 billion in 2008.</w:t>
      </w:r>
      <w:r w:rsidR="000A1CB0">
        <w:rPr>
          <w:rStyle w:val="FootnoteReference"/>
          <w:rFonts w:ascii="Palatino Linotype" w:hAnsi="Palatino Linotype"/>
          <w:sz w:val="24"/>
          <w:szCs w:val="24"/>
        </w:rPr>
        <w:footnoteReference w:id="17"/>
      </w:r>
      <w:r w:rsidRPr="00702946">
        <w:rPr>
          <w:rFonts w:ascii="Palatino Linotype" w:hAnsi="Palatino Linotype"/>
          <w:sz w:val="24"/>
          <w:szCs w:val="24"/>
        </w:rPr>
        <w:t xml:space="preserve"> A 2016 study found that one in six American adults took a psychiatric drug on a daily basis.</w:t>
      </w:r>
      <w:r w:rsidR="000A1CB0">
        <w:rPr>
          <w:rStyle w:val="FootnoteReference"/>
          <w:rFonts w:ascii="Palatino Linotype" w:hAnsi="Palatino Linotype"/>
          <w:sz w:val="24"/>
          <w:szCs w:val="24"/>
        </w:rPr>
        <w:footnoteReference w:id="18"/>
      </w:r>
    </w:p>
    <w:p w14:paraId="3F24EA20" w14:textId="77777777" w:rsidR="000A1CB0" w:rsidRDefault="000A1CB0" w:rsidP="000A1CB0">
      <w:pPr>
        <w:ind w:firstLine="720"/>
        <w:rPr>
          <w:rFonts w:ascii="Palatino Linotype" w:hAnsi="Palatino Linotype"/>
          <w:sz w:val="24"/>
          <w:szCs w:val="24"/>
        </w:rPr>
      </w:pPr>
    </w:p>
    <w:p w14:paraId="220EADB4" w14:textId="34626E0E" w:rsidR="00702946" w:rsidRPr="00702946" w:rsidRDefault="00702946" w:rsidP="000A1CB0">
      <w:pPr>
        <w:ind w:firstLine="720"/>
        <w:rPr>
          <w:rFonts w:ascii="Palatino Linotype" w:hAnsi="Palatino Linotype"/>
          <w:sz w:val="24"/>
          <w:szCs w:val="24"/>
        </w:rPr>
      </w:pPr>
      <w:r w:rsidRPr="00702946">
        <w:rPr>
          <w:rFonts w:ascii="Palatino Linotype" w:hAnsi="Palatino Linotype"/>
          <w:sz w:val="24"/>
          <w:szCs w:val="24"/>
        </w:rPr>
        <w:t>Such are the outlines of the narrative that tells of a “great advance in psychiatry” over the last 65 years. It is a story that fits into a larger societal narrative of great advances in medicine during the 20th century. Yet, unfortunately, none of this story of progress in psychiatry holds up under a close review of the relevant scientific and historical literature. Every element in this narrative is belied by such scrutiny: chlorpromazine did not enable the emptying of asylums; the biology of mental disorders remains unknown; the drugs do not fix known chemical imbalances in the brain; and long-term recovery rates for schizophrenic and depressed patients, rather than having notably improved, have declined in the modern era.</w:t>
      </w:r>
    </w:p>
    <w:p w14:paraId="78000634" w14:textId="77777777" w:rsidR="000A1CB0" w:rsidRDefault="000A1CB0" w:rsidP="000A1CB0">
      <w:pPr>
        <w:ind w:firstLine="720"/>
        <w:rPr>
          <w:rFonts w:ascii="Palatino Linotype" w:hAnsi="Palatino Linotype"/>
          <w:sz w:val="24"/>
          <w:szCs w:val="24"/>
        </w:rPr>
      </w:pPr>
    </w:p>
    <w:p w14:paraId="282AA15E" w14:textId="4543815A" w:rsidR="00702946" w:rsidRPr="00702946" w:rsidRDefault="00702946" w:rsidP="000A1CB0">
      <w:pPr>
        <w:ind w:firstLine="720"/>
        <w:rPr>
          <w:rFonts w:ascii="Palatino Linotype" w:hAnsi="Palatino Linotype"/>
          <w:sz w:val="24"/>
          <w:szCs w:val="24"/>
        </w:rPr>
      </w:pPr>
      <w:r w:rsidRPr="00702946">
        <w:rPr>
          <w:rFonts w:ascii="Palatino Linotype" w:hAnsi="Palatino Linotype"/>
          <w:sz w:val="24"/>
          <w:szCs w:val="24"/>
        </w:rPr>
        <w:t>This failure can be seen in disability data. The number of adults on government disability due to a mental disorder has soared since Prozac was introduced in 1987. The same is true for children under age 18.</w:t>
      </w:r>
      <w:r w:rsidR="000A1CB0">
        <w:rPr>
          <w:rStyle w:val="FootnoteReference"/>
          <w:rFonts w:ascii="Palatino Linotype" w:hAnsi="Palatino Linotype"/>
          <w:sz w:val="24"/>
          <w:szCs w:val="24"/>
        </w:rPr>
        <w:footnoteReference w:id="19"/>
      </w:r>
    </w:p>
    <w:p w14:paraId="067D57DD" w14:textId="77777777" w:rsidR="00702946" w:rsidRDefault="00702946" w:rsidP="00702946">
      <w:pPr>
        <w:rPr>
          <w:rFonts w:ascii="Palatino Linotype" w:hAnsi="Palatino Linotype"/>
          <w:sz w:val="24"/>
          <w:szCs w:val="24"/>
        </w:rPr>
      </w:pPr>
    </w:p>
    <w:p w14:paraId="52ED49F3" w14:textId="77777777" w:rsidR="000A1CB0" w:rsidRPr="00702946" w:rsidRDefault="000A1CB0" w:rsidP="00702946">
      <w:pPr>
        <w:rPr>
          <w:rFonts w:ascii="Palatino Linotype" w:hAnsi="Palatino Linotype"/>
          <w:sz w:val="24"/>
          <w:szCs w:val="24"/>
        </w:rPr>
      </w:pPr>
    </w:p>
    <w:p w14:paraId="11A05C0E" w14:textId="77777777" w:rsidR="00702946" w:rsidRPr="00702946" w:rsidRDefault="00702946" w:rsidP="00702946">
      <w:pPr>
        <w:rPr>
          <w:rFonts w:ascii="Palatino Linotype" w:hAnsi="Palatino Linotype"/>
          <w:sz w:val="24"/>
          <w:szCs w:val="24"/>
        </w:rPr>
      </w:pPr>
    </w:p>
    <w:p w14:paraId="4FF8435A" w14:textId="77777777" w:rsidR="00702946" w:rsidRPr="00702946" w:rsidRDefault="00702946" w:rsidP="00702946">
      <w:pPr>
        <w:rPr>
          <w:rFonts w:ascii="Palatino Linotype" w:hAnsi="Palatino Linotype"/>
          <w:b/>
          <w:bCs/>
          <w:sz w:val="24"/>
          <w:szCs w:val="24"/>
        </w:rPr>
      </w:pPr>
      <w:r w:rsidRPr="00702946">
        <w:rPr>
          <w:rFonts w:ascii="Palatino Linotype" w:hAnsi="Palatino Linotype"/>
          <w:b/>
          <w:bCs/>
          <w:sz w:val="24"/>
          <w:szCs w:val="24"/>
        </w:rPr>
        <w:lastRenderedPageBreak/>
        <w:t>The Discovery of the First Generation of Psychiatric Drugs</w:t>
      </w:r>
    </w:p>
    <w:p w14:paraId="023CAB5E" w14:textId="77777777" w:rsidR="00702946" w:rsidRPr="00702946" w:rsidRDefault="00702946" w:rsidP="000A1CB0">
      <w:pPr>
        <w:ind w:firstLine="720"/>
        <w:rPr>
          <w:rFonts w:ascii="Palatino Linotype" w:hAnsi="Palatino Linotype"/>
          <w:sz w:val="24"/>
          <w:szCs w:val="24"/>
        </w:rPr>
      </w:pPr>
      <w:r w:rsidRPr="00702946">
        <w:rPr>
          <w:rFonts w:ascii="Palatino Linotype" w:hAnsi="Palatino Linotype"/>
          <w:sz w:val="24"/>
          <w:szCs w:val="24"/>
        </w:rPr>
        <w:t>The usual model for drug discovery is for researchers to identify the pathology of a disease, and then find a drug that is a specific treatment for that pathology (an antibiotic for a bacterial infection, for example, or insulin for diabetes). But that is not the process that led to the introduction of chlorpromazine and other “first generation” psychiatric drugs. These drugs came out of research into treatments for non-psychiatric conditions and were introduced into psychiatry because of their side effects.</w:t>
      </w:r>
    </w:p>
    <w:p w14:paraId="0F187C9F" w14:textId="77777777" w:rsidR="00F915B1" w:rsidRDefault="00F915B1" w:rsidP="00F915B1">
      <w:pPr>
        <w:ind w:firstLine="720"/>
        <w:rPr>
          <w:rFonts w:ascii="Palatino Linotype" w:hAnsi="Palatino Linotype"/>
          <w:sz w:val="24"/>
          <w:szCs w:val="24"/>
        </w:rPr>
      </w:pPr>
    </w:p>
    <w:p w14:paraId="6C86D630" w14:textId="54CE72D7" w:rsidR="00702946" w:rsidRPr="00702946" w:rsidRDefault="00702946" w:rsidP="00F915B1">
      <w:pPr>
        <w:ind w:firstLine="720"/>
        <w:rPr>
          <w:rFonts w:ascii="Palatino Linotype" w:hAnsi="Palatino Linotype"/>
          <w:sz w:val="24"/>
          <w:szCs w:val="24"/>
        </w:rPr>
      </w:pPr>
      <w:r w:rsidRPr="00702946">
        <w:rPr>
          <w:rFonts w:ascii="Palatino Linotype" w:hAnsi="Palatino Linotype"/>
          <w:sz w:val="24"/>
          <w:szCs w:val="24"/>
        </w:rPr>
        <w:t>Chlorpromazine was derived from group of compounds known as phenothiazines, which were tested in the 1940s as possible toxins to the microbes that cause malaria, African sleeping sickness, and worm-borne illnesses. One of the phenothiazines was found to have anesthetic properties and when it was introduced into surgery for that purpose, it was found to produce a “euphoric quietude.” The drug, said French surgeon Henri Laborit, “made it possible to disconnect certain brain regions,” such that a surgical patient “felt no pain, no anxiety, and often did not remember his operation.”</w:t>
      </w:r>
      <w:r w:rsidR="000A1CB0">
        <w:rPr>
          <w:rStyle w:val="FootnoteReference"/>
          <w:rFonts w:ascii="Palatino Linotype" w:hAnsi="Palatino Linotype"/>
          <w:sz w:val="24"/>
          <w:szCs w:val="24"/>
        </w:rPr>
        <w:footnoteReference w:id="20"/>
      </w:r>
    </w:p>
    <w:p w14:paraId="579740E6" w14:textId="77777777" w:rsidR="00F915B1" w:rsidRDefault="00F915B1" w:rsidP="00F915B1">
      <w:pPr>
        <w:ind w:firstLine="720"/>
        <w:rPr>
          <w:rFonts w:ascii="Palatino Linotype" w:hAnsi="Palatino Linotype"/>
          <w:sz w:val="24"/>
          <w:szCs w:val="24"/>
        </w:rPr>
      </w:pPr>
    </w:p>
    <w:p w14:paraId="63CF538C" w14:textId="4A8E950C" w:rsidR="00ED6244" w:rsidRPr="00ED6244" w:rsidRDefault="00702946" w:rsidP="00F915B1">
      <w:pPr>
        <w:ind w:firstLine="720"/>
        <w:rPr>
          <w:rFonts w:ascii="Palatino Linotype" w:hAnsi="Palatino Linotype"/>
          <w:sz w:val="24"/>
          <w:szCs w:val="24"/>
        </w:rPr>
      </w:pPr>
      <w:r w:rsidRPr="00702946">
        <w:rPr>
          <w:rFonts w:ascii="Palatino Linotype" w:hAnsi="Palatino Linotype"/>
          <w:sz w:val="24"/>
          <w:szCs w:val="24"/>
        </w:rPr>
        <w:t>Chemists at Rhone-Poulenc, seeking to enhance this effect, synthesized chlorpromazine. In tests with rats, they found that it inhibited motor movement and the mounting of emotional responses. When Laborit tried it in surgery, he reported that it induced a profound emotional indifference, putting patients into a “twilight state.” The drug, he said in 1951, “produced a</w:t>
      </w:r>
      <w:r w:rsidR="00F915B1">
        <w:rPr>
          <w:rFonts w:ascii="Palatino Linotype" w:hAnsi="Palatino Linotype"/>
          <w:sz w:val="24"/>
          <w:szCs w:val="24"/>
        </w:rPr>
        <w:t xml:space="preserve"> </w:t>
      </w:r>
      <w:r w:rsidR="00ED6244" w:rsidRPr="00ED6244">
        <w:rPr>
          <w:rFonts w:ascii="Palatino Linotype" w:hAnsi="Palatino Linotype"/>
          <w:sz w:val="24"/>
          <w:szCs w:val="24"/>
        </w:rPr>
        <w:t>veritable medicinal lobotomy,” meaning that it caused the same change in being as frontal lobotomy, a surgical treatment that had been popularized in the 1940s. When chlorpromazine was introduced into asylum medicine in 1955, psychiatrists dubbed it a major tranquilizer, as it rendered patients indifferent to their surroundings.</w:t>
      </w:r>
    </w:p>
    <w:p w14:paraId="17D8E05A" w14:textId="77777777" w:rsidR="00F915B1" w:rsidRDefault="00F915B1" w:rsidP="00F915B1">
      <w:pPr>
        <w:ind w:firstLine="720"/>
        <w:rPr>
          <w:rFonts w:ascii="Palatino Linotype" w:hAnsi="Palatino Linotype"/>
          <w:sz w:val="24"/>
          <w:szCs w:val="24"/>
        </w:rPr>
      </w:pPr>
    </w:p>
    <w:p w14:paraId="23C4FB07" w14:textId="7E0E81E2" w:rsidR="00ED6244" w:rsidRPr="00ED6244" w:rsidRDefault="00ED6244" w:rsidP="00F915B1">
      <w:pPr>
        <w:ind w:firstLine="720"/>
        <w:rPr>
          <w:rFonts w:ascii="Palatino Linotype" w:hAnsi="Palatino Linotype"/>
          <w:sz w:val="24"/>
          <w:szCs w:val="24"/>
        </w:rPr>
      </w:pPr>
      <w:r w:rsidRPr="00ED6244">
        <w:rPr>
          <w:rFonts w:ascii="Palatino Linotype" w:hAnsi="Palatino Linotype"/>
          <w:sz w:val="24"/>
          <w:szCs w:val="24"/>
        </w:rPr>
        <w:t>The discovery of the first “antidepressant” has a similar genealogy. At the end of World War II, chemists at Hoffmann-La Roche tested hydrazine compounds, which the Germans had synthesized as fuel for its V-2 rockets, to see if they had toxic properties that could be harnessed for magic-bullet purposes in medicine. Researchers reported that tuberculosis patients given iproniazid, which was a hydrazine compound, seemed to be “energized” by this treatment, which led to it being developed as a treatment for depression.</w:t>
      </w:r>
      <w:r w:rsidR="00F915B1">
        <w:rPr>
          <w:rStyle w:val="FootnoteReference"/>
          <w:rFonts w:ascii="Palatino Linotype" w:hAnsi="Palatino Linotype"/>
          <w:sz w:val="24"/>
          <w:szCs w:val="24"/>
        </w:rPr>
        <w:footnoteReference w:id="21"/>
      </w:r>
      <w:r w:rsidRPr="00ED6244">
        <w:rPr>
          <w:rFonts w:ascii="Palatino Linotype" w:hAnsi="Palatino Linotype"/>
          <w:sz w:val="24"/>
          <w:szCs w:val="24"/>
        </w:rPr>
        <w:t xml:space="preserve"> As the </w:t>
      </w:r>
      <w:r w:rsidRPr="00ED6244">
        <w:rPr>
          <w:rFonts w:ascii="Palatino Linotype" w:hAnsi="Palatino Linotype"/>
          <w:i/>
          <w:sz w:val="24"/>
          <w:szCs w:val="24"/>
        </w:rPr>
        <w:t xml:space="preserve">New York Times </w:t>
      </w:r>
      <w:r w:rsidRPr="00ED6244">
        <w:rPr>
          <w:rFonts w:ascii="Palatino Linotype" w:hAnsi="Palatino Linotype"/>
          <w:sz w:val="24"/>
          <w:szCs w:val="24"/>
        </w:rPr>
        <w:t>wrote in 1957, “A side effect of an anti-tuberculosis drug may have led the way to chemical therapy for the unreachable, severely depressed mental patients. Its developers call it an energizer, as opposed to a tranquilizer.”</w:t>
      </w:r>
      <w:r w:rsidR="00F915B1">
        <w:rPr>
          <w:rStyle w:val="FootnoteReference"/>
          <w:rFonts w:ascii="Palatino Linotype" w:hAnsi="Palatino Linotype"/>
          <w:sz w:val="24"/>
          <w:szCs w:val="24"/>
        </w:rPr>
        <w:footnoteReference w:id="22"/>
      </w:r>
    </w:p>
    <w:p w14:paraId="56DEF4DD" w14:textId="1F2E8A2D" w:rsidR="00ED6244" w:rsidRPr="00ED6244" w:rsidRDefault="00ED6244" w:rsidP="00F915B1">
      <w:pPr>
        <w:ind w:firstLine="720"/>
        <w:rPr>
          <w:rFonts w:ascii="Palatino Linotype" w:hAnsi="Palatino Linotype"/>
          <w:sz w:val="24"/>
          <w:szCs w:val="24"/>
        </w:rPr>
      </w:pPr>
      <w:r w:rsidRPr="00ED6244">
        <w:rPr>
          <w:rFonts w:ascii="Palatino Linotype" w:hAnsi="Palatino Linotype"/>
          <w:sz w:val="24"/>
          <w:szCs w:val="24"/>
        </w:rPr>
        <w:lastRenderedPageBreak/>
        <w:t>The first anti-anxiety agents were products of research for a “magic bullet” against gram-negative bacteria (penicillin was effective against gram-positive bacteria.) This research led to the discovery of compounds that were powerful muscle relaxants. Rats given such compounds, when placed on their backs, would be unable to right themselves and yet would show no signs of anxiety over their predicament. Such compounds also made larger animals “tranquil” and non-aggressive. These were the effects that led Hoffmann-La Roche to introduce Librium and Valium to the market in the early 1960s. The agents were dubbed “minor tranquilizers.”</w:t>
      </w:r>
      <w:r w:rsidR="00F915B1">
        <w:rPr>
          <w:rStyle w:val="FootnoteReference"/>
          <w:rFonts w:ascii="Palatino Linotype" w:hAnsi="Palatino Linotype"/>
          <w:sz w:val="24"/>
          <w:szCs w:val="24"/>
        </w:rPr>
        <w:footnoteReference w:id="23"/>
      </w:r>
    </w:p>
    <w:p w14:paraId="51698B19" w14:textId="77777777" w:rsidR="00F915B1" w:rsidRDefault="00F915B1" w:rsidP="00F915B1">
      <w:pPr>
        <w:ind w:firstLine="720"/>
        <w:rPr>
          <w:rFonts w:ascii="Palatino Linotype" w:hAnsi="Palatino Linotype"/>
          <w:sz w:val="24"/>
          <w:szCs w:val="24"/>
        </w:rPr>
      </w:pPr>
    </w:p>
    <w:p w14:paraId="42649A67" w14:textId="7623AB24" w:rsidR="00ED6244" w:rsidRPr="00ED6244" w:rsidRDefault="00ED6244" w:rsidP="00F915B1">
      <w:pPr>
        <w:ind w:firstLine="720"/>
        <w:rPr>
          <w:rFonts w:ascii="Palatino Linotype" w:hAnsi="Palatino Linotype"/>
          <w:sz w:val="24"/>
          <w:szCs w:val="24"/>
        </w:rPr>
      </w:pPr>
      <w:r w:rsidRPr="00ED6244">
        <w:rPr>
          <w:rFonts w:ascii="Palatino Linotype" w:hAnsi="Palatino Linotype"/>
          <w:sz w:val="24"/>
          <w:szCs w:val="24"/>
        </w:rPr>
        <w:t>In sum, there was no line of research into the pathology of psychiatric disorders that led to the introduction of a first generation of antipsychotics, antidepressants, and anti-anxiety agents. Instead, a search for toxins that could serve as “magic bullets” for infectious diseases led to the discovery of compounds that impaired normal functioning in ways that suggested they could be put to use in psychiatry.</w:t>
      </w:r>
    </w:p>
    <w:p w14:paraId="75163574" w14:textId="77777777" w:rsidR="00F915B1" w:rsidRDefault="00F915B1" w:rsidP="00F915B1">
      <w:pPr>
        <w:ind w:firstLine="720"/>
        <w:rPr>
          <w:rFonts w:ascii="Palatino Linotype" w:hAnsi="Palatino Linotype"/>
          <w:sz w:val="24"/>
          <w:szCs w:val="24"/>
        </w:rPr>
      </w:pPr>
    </w:p>
    <w:p w14:paraId="28842C46" w14:textId="590A240F" w:rsidR="00ED6244" w:rsidRPr="00ED6244" w:rsidRDefault="00ED6244" w:rsidP="00F915B1">
      <w:pPr>
        <w:ind w:firstLine="720"/>
        <w:rPr>
          <w:rFonts w:ascii="Palatino Linotype" w:hAnsi="Palatino Linotype"/>
          <w:sz w:val="24"/>
          <w:szCs w:val="24"/>
        </w:rPr>
      </w:pPr>
      <w:r w:rsidRPr="00ED6244">
        <w:rPr>
          <w:rFonts w:ascii="Palatino Linotype" w:hAnsi="Palatino Linotype"/>
          <w:sz w:val="24"/>
          <w:szCs w:val="24"/>
        </w:rPr>
        <w:t>In clinical trials, these agents were found to reduce symptoms of psychosis, depression, and anxiety in psychiatric patients, at least to some degree, and this led to their being renamed as drugs that were antidotes to those three conditions. This name change—into antipsychotics, antidepressants, and anti-anxiety agents—was pushed along by pharmaceutical companies, as it made it possible for them to market the drugs as treatments for “diseases,” which gave the medications a greater appeal in the marketplace.</w:t>
      </w:r>
    </w:p>
    <w:p w14:paraId="71A33E83" w14:textId="77777777" w:rsidR="00ED6244" w:rsidRPr="00ED6244" w:rsidRDefault="00ED6244" w:rsidP="00ED6244">
      <w:pPr>
        <w:rPr>
          <w:rFonts w:ascii="Palatino Linotype" w:hAnsi="Palatino Linotype"/>
          <w:sz w:val="24"/>
          <w:szCs w:val="24"/>
        </w:rPr>
      </w:pPr>
    </w:p>
    <w:p w14:paraId="1EA21390" w14:textId="77777777" w:rsidR="00ED6244" w:rsidRPr="00ED6244" w:rsidRDefault="00ED6244" w:rsidP="00ED6244">
      <w:pPr>
        <w:rPr>
          <w:rFonts w:ascii="Palatino Linotype" w:hAnsi="Palatino Linotype"/>
          <w:sz w:val="24"/>
          <w:szCs w:val="24"/>
        </w:rPr>
      </w:pPr>
    </w:p>
    <w:p w14:paraId="4AD54B69" w14:textId="77777777" w:rsidR="00ED6244" w:rsidRPr="00ED6244" w:rsidRDefault="00ED6244" w:rsidP="00ED6244">
      <w:pPr>
        <w:rPr>
          <w:rFonts w:ascii="Palatino Linotype" w:hAnsi="Palatino Linotype"/>
          <w:b/>
          <w:bCs/>
          <w:sz w:val="24"/>
          <w:szCs w:val="24"/>
        </w:rPr>
      </w:pPr>
      <w:r w:rsidRPr="00ED6244">
        <w:rPr>
          <w:rFonts w:ascii="Palatino Linotype" w:hAnsi="Palatino Linotype"/>
          <w:b/>
          <w:bCs/>
          <w:sz w:val="24"/>
          <w:szCs w:val="24"/>
        </w:rPr>
        <w:t>Deinstitutionalization</w:t>
      </w:r>
    </w:p>
    <w:p w14:paraId="291850A2" w14:textId="3B71E247" w:rsidR="00AE06F9" w:rsidRPr="00AE06F9" w:rsidRDefault="00ED6244" w:rsidP="00F915B1">
      <w:pPr>
        <w:ind w:firstLine="720"/>
        <w:rPr>
          <w:rFonts w:ascii="Palatino Linotype" w:hAnsi="Palatino Linotype"/>
        </w:rPr>
      </w:pPr>
      <w:r w:rsidRPr="00ED6244">
        <w:rPr>
          <w:rFonts w:ascii="Palatino Linotype" w:hAnsi="Palatino Linotype"/>
          <w:sz w:val="24"/>
          <w:szCs w:val="24"/>
        </w:rPr>
        <w:t>Toward the end of the 19th century, the United States began to fall under the sway of eugenic ideas about the mentally ill. Eugenicists in the United States argued that the mentally ill needed to be “segregated” from the general population so they couldn’t breed and spread</w:t>
      </w:r>
      <w:r w:rsidR="00AE06F9">
        <w:rPr>
          <w:rFonts w:ascii="Palatino Linotype" w:hAnsi="Palatino Linotype"/>
          <w:sz w:val="24"/>
          <w:szCs w:val="24"/>
        </w:rPr>
        <w:t xml:space="preserve"> </w:t>
      </w:r>
      <w:r w:rsidR="00AE06F9" w:rsidRPr="00AE06F9">
        <w:rPr>
          <w:rFonts w:ascii="Palatino Linotype" w:hAnsi="Palatino Linotype"/>
        </w:rPr>
        <w:t>their defective genes, and this led to policies that regularly kept such patients confined in hospitals for years and years on end. As a result, the number of patients in state mental hospitals grew from 31,000 in 1880 to 555,000 in 1955, when chlorpromazine was introduced.</w:t>
      </w:r>
      <w:r w:rsidR="008D604B">
        <w:rPr>
          <w:rStyle w:val="FootnoteReference"/>
          <w:rFonts w:ascii="Palatino Linotype" w:hAnsi="Palatino Linotype"/>
        </w:rPr>
        <w:footnoteReference w:id="24"/>
      </w:r>
    </w:p>
    <w:p w14:paraId="53DED422" w14:textId="77777777" w:rsidR="00F915B1" w:rsidRDefault="00F915B1" w:rsidP="00F915B1">
      <w:pPr>
        <w:ind w:firstLine="720"/>
        <w:rPr>
          <w:rFonts w:ascii="Palatino Linotype" w:hAnsi="Palatino Linotype"/>
          <w:sz w:val="24"/>
          <w:szCs w:val="24"/>
        </w:rPr>
      </w:pPr>
    </w:p>
    <w:p w14:paraId="24DA15CB" w14:textId="265BB86C" w:rsidR="00AE06F9" w:rsidRPr="00AE06F9" w:rsidRDefault="00AE06F9" w:rsidP="00F915B1">
      <w:pPr>
        <w:ind w:firstLine="720"/>
        <w:rPr>
          <w:rFonts w:ascii="Palatino Linotype" w:hAnsi="Palatino Linotype"/>
          <w:sz w:val="24"/>
          <w:szCs w:val="24"/>
        </w:rPr>
      </w:pPr>
      <w:r w:rsidRPr="00AE06F9">
        <w:rPr>
          <w:rFonts w:ascii="Palatino Linotype" w:hAnsi="Palatino Linotype"/>
          <w:sz w:val="24"/>
          <w:szCs w:val="24"/>
        </w:rPr>
        <w:t xml:space="preserve">However, eugenics became a discredited science during World War II, as such ideas had motivated the Nazis to adopt their genocidal policies, and so, after the war ended, mental hospitals began making a concerted effort to discharge first-episode patients, rather than keep them segregated in the hospital for indefinite periods of time. </w:t>
      </w:r>
      <w:r w:rsidRPr="00AE06F9">
        <w:rPr>
          <w:rFonts w:ascii="Palatino Linotype" w:hAnsi="Palatino Linotype"/>
          <w:sz w:val="24"/>
          <w:szCs w:val="24"/>
        </w:rPr>
        <w:lastRenderedPageBreak/>
        <w:t>From 1945 to 1955, mental hospitals in the U.S. discharged around 65 percent of their first-episode patients within 18 months or less.</w:t>
      </w:r>
      <w:r w:rsidR="008D604B">
        <w:rPr>
          <w:rStyle w:val="FootnoteReference"/>
          <w:rFonts w:ascii="Palatino Linotype" w:hAnsi="Palatino Linotype"/>
          <w:sz w:val="24"/>
          <w:szCs w:val="24"/>
        </w:rPr>
        <w:footnoteReference w:id="25"/>
      </w:r>
    </w:p>
    <w:p w14:paraId="13406D75" w14:textId="77777777" w:rsidR="008D604B" w:rsidRDefault="008D604B" w:rsidP="008D604B">
      <w:pPr>
        <w:ind w:firstLine="720"/>
        <w:rPr>
          <w:rFonts w:ascii="Palatino Linotype" w:hAnsi="Palatino Linotype"/>
          <w:sz w:val="24"/>
          <w:szCs w:val="24"/>
        </w:rPr>
      </w:pPr>
    </w:p>
    <w:p w14:paraId="7F67F618" w14:textId="22FD4D6C" w:rsidR="00AE06F9" w:rsidRPr="00AE06F9" w:rsidRDefault="00AE06F9" w:rsidP="008D604B">
      <w:pPr>
        <w:ind w:firstLine="720"/>
        <w:rPr>
          <w:rFonts w:ascii="Palatino Linotype" w:hAnsi="Palatino Linotype"/>
          <w:sz w:val="24"/>
          <w:szCs w:val="24"/>
        </w:rPr>
      </w:pPr>
      <w:r w:rsidRPr="00AE06F9">
        <w:rPr>
          <w:rFonts w:ascii="Palatino Linotype" w:hAnsi="Palatino Linotype"/>
          <w:sz w:val="24"/>
          <w:szCs w:val="24"/>
        </w:rPr>
        <w:t>This discharge rate for first-episode patients didn’t change after chlorpromazine was introduced. Studies in the U.S. and Europe all failed to show any significant increase in discharge rates.</w:t>
      </w:r>
      <w:r w:rsidR="008D604B">
        <w:rPr>
          <w:rStyle w:val="FootnoteReference"/>
          <w:rFonts w:ascii="Palatino Linotype" w:hAnsi="Palatino Linotype"/>
          <w:sz w:val="24"/>
          <w:szCs w:val="24"/>
        </w:rPr>
        <w:footnoteReference w:id="26"/>
      </w:r>
      <w:r w:rsidRPr="00AE06F9">
        <w:rPr>
          <w:rFonts w:ascii="Palatino Linotype" w:hAnsi="Palatino Linotype"/>
          <w:sz w:val="24"/>
          <w:szCs w:val="24"/>
        </w:rPr>
        <w:t xml:space="preserve"> In fact, a study of 1,413 first-episode male schizophrenic patients admitted to California hospitals in 1956 and 1957, when the use of chlorpromazine had not yet become mandatory care, found that “drug-treated patients tend to have longer periods of hospitalization</w:t>
      </w:r>
      <w:r w:rsidR="008D604B">
        <w:rPr>
          <w:rFonts w:ascii="Palatino Linotype" w:hAnsi="Palatino Linotype"/>
          <w:sz w:val="24"/>
          <w:szCs w:val="24"/>
        </w:rPr>
        <w:t xml:space="preserve">… </w:t>
      </w:r>
      <w:r w:rsidRPr="00AE06F9">
        <w:rPr>
          <w:rFonts w:ascii="Palatino Linotype" w:hAnsi="Palatino Linotype"/>
          <w:sz w:val="24"/>
          <w:szCs w:val="24"/>
        </w:rPr>
        <w:t>furthermore, the hospitals wherein a higher percent of first-admission schizophrenic patients are treated with these drugs tend to have somewhat higher retention rates for this group as a whole.”</w:t>
      </w:r>
      <w:r w:rsidR="008D604B">
        <w:rPr>
          <w:rStyle w:val="FootnoteReference"/>
          <w:rFonts w:ascii="Palatino Linotype" w:hAnsi="Palatino Linotype"/>
          <w:sz w:val="24"/>
          <w:szCs w:val="24"/>
        </w:rPr>
        <w:footnoteReference w:id="27"/>
      </w:r>
    </w:p>
    <w:p w14:paraId="2E39EC47" w14:textId="77777777" w:rsidR="008D604B" w:rsidRDefault="008D604B" w:rsidP="008D604B">
      <w:pPr>
        <w:ind w:firstLine="720"/>
        <w:rPr>
          <w:rFonts w:ascii="Palatino Linotype" w:hAnsi="Palatino Linotype"/>
          <w:sz w:val="24"/>
          <w:szCs w:val="24"/>
        </w:rPr>
      </w:pPr>
    </w:p>
    <w:p w14:paraId="5258FE43" w14:textId="6A8FEB11" w:rsidR="00AE06F9" w:rsidRDefault="00AE06F9" w:rsidP="008D604B">
      <w:pPr>
        <w:ind w:firstLine="720"/>
        <w:rPr>
          <w:rFonts w:ascii="Palatino Linotype" w:hAnsi="Palatino Linotype"/>
          <w:sz w:val="24"/>
          <w:szCs w:val="24"/>
        </w:rPr>
      </w:pPr>
      <w:r w:rsidRPr="00AE06F9">
        <w:rPr>
          <w:rFonts w:ascii="Palatino Linotype" w:hAnsi="Palatino Linotype"/>
          <w:sz w:val="24"/>
          <w:szCs w:val="24"/>
        </w:rPr>
        <w:t>However, while first-episode patients were now being discharged with great frequency, there remained a chronic population in the state mental hospitals, and the arrival of chlorpromazine did not facilitate their discharge. The number of patients in state mental hospitals stood at 515,000 in 1962, only slightly down from what it had been in 1955. The emptying of the asylums got underway in 1965 thanks to the enactment of Medicaid and Medicare. Those laws provided federal subsidies for nursing home care but no such subsidy for care in state mental hospitals, and so states did the obvious financial thing: they began shipping their chronic patients to nursing homes.</w:t>
      </w:r>
    </w:p>
    <w:p w14:paraId="2B7A978B" w14:textId="77777777" w:rsidR="00521B4B" w:rsidRPr="00AE06F9" w:rsidRDefault="00521B4B" w:rsidP="008D604B">
      <w:pPr>
        <w:ind w:firstLine="720"/>
        <w:rPr>
          <w:rFonts w:ascii="Palatino Linotype" w:hAnsi="Palatino Linotype"/>
          <w:sz w:val="24"/>
          <w:szCs w:val="24"/>
        </w:rPr>
      </w:pPr>
    </w:p>
    <w:p w14:paraId="769882DF" w14:textId="0D53C5CE" w:rsidR="005C0053" w:rsidRPr="005C0053" w:rsidRDefault="00AE06F9" w:rsidP="008D604B">
      <w:pPr>
        <w:ind w:firstLine="720"/>
        <w:rPr>
          <w:rFonts w:ascii="Palatino Linotype" w:hAnsi="Palatino Linotype"/>
        </w:rPr>
      </w:pPr>
      <w:r w:rsidRPr="00AE06F9">
        <w:rPr>
          <w:rFonts w:ascii="Palatino Linotype" w:hAnsi="Palatino Linotype"/>
          <w:sz w:val="24"/>
          <w:szCs w:val="24"/>
        </w:rPr>
        <w:t>The number of patients in state hospitals declined by nearly 140,000 from 1965 to 1970, and then, in 1972, the federal government passed welfare legislation that provided social security income payments to the disabled. This enabled state hospitals to discharge chronic patients to boarding homes and welfare hotels, with the federal government stuck with the cost of that care. By 1980, the census in public mental hospitals in the United States had declined to 132,164. Nearly 400,000 beds had been eliminated in a short fifteen years, but it was a deinstitutionalization process that had been driven by financial concerns, and not by the</w:t>
      </w:r>
      <w:r w:rsidR="005C0053">
        <w:rPr>
          <w:rFonts w:ascii="Palatino Linotype" w:hAnsi="Palatino Linotype"/>
          <w:sz w:val="24"/>
          <w:szCs w:val="24"/>
        </w:rPr>
        <w:t xml:space="preserve"> </w:t>
      </w:r>
      <w:r w:rsidR="005C0053" w:rsidRPr="005C0053">
        <w:rPr>
          <w:rFonts w:ascii="Palatino Linotype" w:hAnsi="Palatino Linotype"/>
        </w:rPr>
        <w:t>arrival of drugs that made it possible for schizophrenia patients to live “relatively normal lives” in the community.</w:t>
      </w:r>
      <w:r w:rsidR="00521B4B">
        <w:rPr>
          <w:rStyle w:val="FootnoteReference"/>
          <w:rFonts w:ascii="Palatino Linotype" w:hAnsi="Palatino Linotype"/>
        </w:rPr>
        <w:footnoteReference w:id="28"/>
      </w:r>
    </w:p>
    <w:p w14:paraId="53E1A2F7" w14:textId="77777777" w:rsidR="005C0053" w:rsidRPr="005C0053" w:rsidRDefault="005C0053" w:rsidP="005C0053">
      <w:pPr>
        <w:rPr>
          <w:rFonts w:ascii="Palatino Linotype" w:hAnsi="Palatino Linotype"/>
          <w:sz w:val="24"/>
          <w:szCs w:val="24"/>
        </w:rPr>
      </w:pPr>
    </w:p>
    <w:p w14:paraId="1235C49C" w14:textId="77777777" w:rsidR="005C0053" w:rsidRPr="005C0053" w:rsidRDefault="005C0053" w:rsidP="005C0053">
      <w:pPr>
        <w:rPr>
          <w:rFonts w:ascii="Palatino Linotype" w:hAnsi="Palatino Linotype"/>
          <w:sz w:val="24"/>
          <w:szCs w:val="24"/>
        </w:rPr>
      </w:pPr>
    </w:p>
    <w:p w14:paraId="33C45736" w14:textId="77777777" w:rsidR="005C0053" w:rsidRPr="005C0053" w:rsidRDefault="005C0053" w:rsidP="005C0053">
      <w:pPr>
        <w:rPr>
          <w:rFonts w:ascii="Palatino Linotype" w:hAnsi="Palatino Linotype"/>
          <w:b/>
          <w:bCs/>
          <w:sz w:val="24"/>
          <w:szCs w:val="24"/>
        </w:rPr>
      </w:pPr>
      <w:r w:rsidRPr="005C0053">
        <w:rPr>
          <w:rFonts w:ascii="Palatino Linotype" w:hAnsi="Palatino Linotype"/>
          <w:b/>
          <w:bCs/>
          <w:sz w:val="24"/>
          <w:szCs w:val="24"/>
        </w:rPr>
        <w:lastRenderedPageBreak/>
        <w:t>The Creation of DSM III</w:t>
      </w:r>
    </w:p>
    <w:p w14:paraId="0E52717C" w14:textId="77777777" w:rsidR="005C0053" w:rsidRPr="005C0053" w:rsidRDefault="005C0053" w:rsidP="00521B4B">
      <w:pPr>
        <w:ind w:firstLine="720"/>
        <w:rPr>
          <w:rFonts w:ascii="Palatino Linotype" w:hAnsi="Palatino Linotype"/>
          <w:sz w:val="24"/>
          <w:szCs w:val="24"/>
        </w:rPr>
      </w:pPr>
      <w:r w:rsidRPr="005C0053">
        <w:rPr>
          <w:rFonts w:ascii="Palatino Linotype" w:hAnsi="Palatino Linotype"/>
          <w:sz w:val="24"/>
          <w:szCs w:val="24"/>
        </w:rPr>
        <w:t xml:space="preserve">In 1980, the American Psychiatric Association (APA) published the third edition of its </w:t>
      </w:r>
      <w:r w:rsidRPr="005C0053">
        <w:rPr>
          <w:rFonts w:ascii="Palatino Linotype" w:hAnsi="Palatino Linotype"/>
          <w:i/>
          <w:sz w:val="24"/>
          <w:szCs w:val="24"/>
        </w:rPr>
        <w:t xml:space="preserve">Diagnostic and Statistical Manual </w:t>
      </w:r>
      <w:r w:rsidRPr="005C0053">
        <w:rPr>
          <w:rFonts w:ascii="Palatino Linotype" w:hAnsi="Palatino Linotype"/>
          <w:sz w:val="24"/>
          <w:szCs w:val="24"/>
        </w:rPr>
        <w:t>(DSM III). This is when it adopted a “medical model” for diagnosing and treating mental disorders, which were to be conceptualized as brain diseases. However, there had been no scientific discoveries that provided a basis for the APA to make these declarations. The biology of mental disorders in 1980 remained unknown, and so too the genetics. Instead, the belief was that research would soon “validate” the disorders as distinct illnesses. The specific pathology of different disorders would be discovered; genes would be identified that were associated with the illnesses; and lab tests would be developed that could reliably distinguish schizophrenia from bipolar disorder, and bipolar disorder from depression, and so forth.</w:t>
      </w:r>
    </w:p>
    <w:p w14:paraId="3111B62A" w14:textId="77777777" w:rsidR="00521B4B" w:rsidRDefault="00521B4B" w:rsidP="00521B4B">
      <w:pPr>
        <w:ind w:firstLine="674"/>
        <w:rPr>
          <w:rFonts w:ascii="Palatino Linotype" w:hAnsi="Palatino Linotype"/>
          <w:sz w:val="24"/>
          <w:szCs w:val="24"/>
        </w:rPr>
      </w:pPr>
    </w:p>
    <w:p w14:paraId="0BD864BD" w14:textId="05B2A287" w:rsidR="005C0053" w:rsidRPr="005C0053" w:rsidRDefault="005C0053" w:rsidP="00521B4B">
      <w:pPr>
        <w:ind w:firstLine="674"/>
        <w:rPr>
          <w:rFonts w:ascii="Palatino Linotype" w:hAnsi="Palatino Linotype"/>
          <w:sz w:val="24"/>
          <w:szCs w:val="24"/>
        </w:rPr>
      </w:pPr>
      <w:r w:rsidRPr="005C0053">
        <w:rPr>
          <w:rFonts w:ascii="Palatino Linotype" w:hAnsi="Palatino Linotype"/>
          <w:sz w:val="24"/>
          <w:szCs w:val="24"/>
        </w:rPr>
        <w:t>That expectation never panned out. Forty years later, nothing has changed: the biology of mental disorders remains unknown, the genetics of major mental disorders remain unknown, and there are no diagnostic tests to distinguish one disorder from another. Numerous leaders in psychiatry have acknowledged that the diagnoses in the DSM have never been “validated” as distinct illnesses. Here is a sampling of their comments:</w:t>
      </w:r>
    </w:p>
    <w:p w14:paraId="73942913" w14:textId="77777777" w:rsidR="00521B4B" w:rsidRDefault="005C0053" w:rsidP="00521B4B">
      <w:pPr>
        <w:pStyle w:val="ListParagraph"/>
        <w:numPr>
          <w:ilvl w:val="0"/>
          <w:numId w:val="3"/>
        </w:numPr>
        <w:rPr>
          <w:rFonts w:ascii="Palatino Linotype" w:hAnsi="Palatino Linotype"/>
          <w:sz w:val="24"/>
          <w:szCs w:val="24"/>
        </w:rPr>
      </w:pPr>
      <w:r w:rsidRPr="00521B4B">
        <w:rPr>
          <w:rFonts w:ascii="Palatino Linotype" w:hAnsi="Palatino Linotype"/>
          <w:sz w:val="24"/>
          <w:szCs w:val="24"/>
        </w:rPr>
        <w:t>“The strength of each of the editions of DSM has been ‘reliability’—each edition has ensured that clinicians use the same term in the same ways. The weakness is its lack of validity.” –NIMH director Thomas Insel</w:t>
      </w:r>
      <w:r w:rsidR="00521B4B">
        <w:rPr>
          <w:rStyle w:val="FootnoteReference"/>
          <w:rFonts w:ascii="Palatino Linotype" w:hAnsi="Palatino Linotype"/>
          <w:sz w:val="24"/>
          <w:szCs w:val="24"/>
        </w:rPr>
        <w:footnoteReference w:id="29"/>
      </w:r>
    </w:p>
    <w:p w14:paraId="29D17C9B" w14:textId="77777777" w:rsidR="00521B4B" w:rsidRPr="00521B4B" w:rsidRDefault="005C0053" w:rsidP="00521B4B">
      <w:pPr>
        <w:pStyle w:val="ListParagraph"/>
        <w:numPr>
          <w:ilvl w:val="0"/>
          <w:numId w:val="3"/>
        </w:numPr>
        <w:rPr>
          <w:rFonts w:ascii="Palatino Linotype" w:hAnsi="Palatino Linotype"/>
          <w:sz w:val="24"/>
          <w:szCs w:val="24"/>
        </w:rPr>
      </w:pPr>
      <w:r w:rsidRPr="00521B4B">
        <w:rPr>
          <w:rFonts w:ascii="Palatino Linotype" w:hAnsi="Palatino Linotype"/>
          <w:sz w:val="24"/>
          <w:szCs w:val="24"/>
        </w:rPr>
        <w:t>“DSM diagnoses are not useful for research because of their lack of validit</w:t>
      </w:r>
      <w:r w:rsidR="00521B4B">
        <w:rPr>
          <w:rFonts w:ascii="Palatino Linotype" w:hAnsi="Palatino Linotype"/>
          <w:sz w:val="24"/>
          <w:szCs w:val="24"/>
        </w:rPr>
        <w:t xml:space="preserve">y… </w:t>
      </w:r>
      <w:r w:rsidRPr="00521B4B">
        <w:rPr>
          <w:rFonts w:ascii="Palatino Linotype" w:hAnsi="Palatino Linotype"/>
          <w:sz w:val="24"/>
          <w:szCs w:val="24"/>
        </w:rPr>
        <w:t>DSM</w:t>
      </w:r>
      <w:r w:rsidR="00521B4B">
        <w:rPr>
          <w:rFonts w:ascii="Palatino Linotype" w:hAnsi="Palatino Linotype"/>
          <w:sz w:val="24"/>
          <w:szCs w:val="24"/>
        </w:rPr>
        <w:t xml:space="preserve"> </w:t>
      </w:r>
      <w:r w:rsidRPr="00521B4B">
        <w:rPr>
          <w:rFonts w:ascii="Palatino Linotype" w:hAnsi="Palatino Linotype"/>
          <w:sz w:val="24"/>
          <w:szCs w:val="24"/>
        </w:rPr>
        <w:t xml:space="preserve">diagnoses have given researchers a common nomenclature, but probably the wrong one.” –Nancy Andreasen, former editor of the </w:t>
      </w:r>
      <w:r w:rsidRPr="00521B4B">
        <w:rPr>
          <w:rFonts w:ascii="Palatino Linotype" w:hAnsi="Palatino Linotype"/>
          <w:i/>
          <w:sz w:val="24"/>
          <w:szCs w:val="24"/>
        </w:rPr>
        <w:t>American Journal of Psychiatry</w:t>
      </w:r>
      <w:r w:rsidR="00521B4B">
        <w:rPr>
          <w:rStyle w:val="FootnoteReference"/>
          <w:rFonts w:ascii="Palatino Linotype" w:hAnsi="Palatino Linotype"/>
          <w:i/>
          <w:sz w:val="24"/>
          <w:szCs w:val="24"/>
        </w:rPr>
        <w:footnoteReference w:id="30"/>
      </w:r>
    </w:p>
    <w:p w14:paraId="5664D44A" w14:textId="77777777" w:rsidR="00521B4B" w:rsidRDefault="005C0053" w:rsidP="005C0053">
      <w:pPr>
        <w:pStyle w:val="ListParagraph"/>
        <w:numPr>
          <w:ilvl w:val="0"/>
          <w:numId w:val="3"/>
        </w:numPr>
        <w:rPr>
          <w:rFonts w:ascii="Palatino Linotype" w:hAnsi="Palatino Linotype"/>
          <w:sz w:val="24"/>
          <w:szCs w:val="24"/>
        </w:rPr>
      </w:pPr>
      <w:r w:rsidRPr="00521B4B">
        <w:rPr>
          <w:rFonts w:ascii="Palatino Linotype" w:hAnsi="Palatino Linotype"/>
          <w:sz w:val="24"/>
          <w:szCs w:val="24"/>
        </w:rPr>
        <w:t>“DSM diagnoses no longer seem at all reducible to simple diseases, but rather are better understood as no more than currently convenient constructs or heuristics that allow us to communicate with one another as we conduct our clinical research, education, forensic, and administrative work.” –Allen Frances, chair of the DSM IV task force</w:t>
      </w:r>
      <w:r w:rsidR="00521B4B">
        <w:rPr>
          <w:rStyle w:val="FootnoteReference"/>
          <w:rFonts w:ascii="Palatino Linotype" w:hAnsi="Palatino Linotype"/>
          <w:sz w:val="24"/>
          <w:szCs w:val="24"/>
        </w:rPr>
        <w:footnoteReference w:id="31"/>
      </w:r>
    </w:p>
    <w:p w14:paraId="43DAC9A4" w14:textId="17062DA5" w:rsidR="005C0053" w:rsidRPr="00521B4B" w:rsidRDefault="005C0053" w:rsidP="005C0053">
      <w:pPr>
        <w:pStyle w:val="ListParagraph"/>
        <w:numPr>
          <w:ilvl w:val="0"/>
          <w:numId w:val="3"/>
        </w:numPr>
        <w:rPr>
          <w:rFonts w:ascii="Palatino Linotype" w:hAnsi="Palatino Linotype"/>
          <w:sz w:val="24"/>
          <w:szCs w:val="24"/>
        </w:rPr>
      </w:pPr>
      <w:r w:rsidRPr="00521B4B">
        <w:rPr>
          <w:rFonts w:ascii="Palatino Linotype" w:hAnsi="Palatino Linotype"/>
          <w:sz w:val="24"/>
          <w:szCs w:val="24"/>
        </w:rPr>
        <w:t xml:space="preserve">“While in principle, science should be the basis of any diagnostic system, DSM </w:t>
      </w:r>
      <w:r w:rsidRPr="00521B4B">
        <w:rPr>
          <w:rFonts w:ascii="Palatino Linotype" w:hAnsi="Palatino Linotype"/>
          <w:sz w:val="24"/>
          <w:szCs w:val="24"/>
        </w:rPr>
        <w:lastRenderedPageBreak/>
        <w:t>has</w:t>
      </w:r>
      <w:r w:rsidRPr="00521B4B">
        <w:rPr>
          <w:rFonts w:ascii="Palatino Linotype" w:hAnsi="Palatino Linotype"/>
          <w:sz w:val="24"/>
          <w:szCs w:val="24"/>
        </w:rPr>
        <w:t xml:space="preserve"> </w:t>
      </w:r>
      <w:r w:rsidRPr="00521B4B">
        <w:rPr>
          <w:rFonts w:ascii="Palatino Linotype" w:hAnsi="Palatino Linotype"/>
        </w:rPr>
        <w:t>been seduced by the illusion that advances in neuroscience provide empirical validity for a new system. In reality, we do not know whether conditions like schizophrenia, bipolar disorder, or obsessive-compulsive disorder are true diseases.” –Joel Paris, McGill University Department of Psychiatry</w:t>
      </w:r>
      <w:r w:rsidR="00521B4B">
        <w:rPr>
          <w:rStyle w:val="FootnoteReference"/>
          <w:rFonts w:ascii="Palatino Linotype" w:hAnsi="Palatino Linotype"/>
        </w:rPr>
        <w:footnoteReference w:id="32"/>
      </w:r>
    </w:p>
    <w:p w14:paraId="3B7667DA" w14:textId="77777777" w:rsidR="005C0053" w:rsidRPr="005C0053" w:rsidRDefault="005C0053" w:rsidP="005C0053">
      <w:pPr>
        <w:rPr>
          <w:rFonts w:ascii="Palatino Linotype" w:hAnsi="Palatino Linotype"/>
          <w:sz w:val="24"/>
          <w:szCs w:val="24"/>
        </w:rPr>
      </w:pPr>
    </w:p>
    <w:p w14:paraId="487AF6C7" w14:textId="77777777" w:rsidR="005C0053" w:rsidRPr="005C0053" w:rsidRDefault="005C0053" w:rsidP="005C0053">
      <w:pPr>
        <w:rPr>
          <w:rFonts w:ascii="Palatino Linotype" w:hAnsi="Palatino Linotype"/>
          <w:sz w:val="24"/>
          <w:szCs w:val="24"/>
        </w:rPr>
      </w:pPr>
    </w:p>
    <w:p w14:paraId="305A0F4E" w14:textId="77777777" w:rsidR="005C0053" w:rsidRPr="005C0053" w:rsidRDefault="005C0053" w:rsidP="005C0053">
      <w:pPr>
        <w:rPr>
          <w:rFonts w:ascii="Palatino Linotype" w:hAnsi="Palatino Linotype"/>
          <w:b/>
          <w:bCs/>
          <w:sz w:val="24"/>
          <w:szCs w:val="24"/>
        </w:rPr>
      </w:pPr>
      <w:r w:rsidRPr="005C0053">
        <w:rPr>
          <w:rFonts w:ascii="Palatino Linotype" w:hAnsi="Palatino Linotype"/>
          <w:b/>
          <w:bCs/>
          <w:sz w:val="24"/>
          <w:szCs w:val="24"/>
        </w:rPr>
        <w:t>The Rise and Fall of the Chemical Imbalance Theory</w:t>
      </w:r>
    </w:p>
    <w:p w14:paraId="0A09E31B" w14:textId="77777777" w:rsidR="005C0053" w:rsidRPr="005C0053" w:rsidRDefault="005C0053" w:rsidP="0032631D">
      <w:pPr>
        <w:ind w:firstLine="720"/>
        <w:rPr>
          <w:rFonts w:ascii="Palatino Linotype" w:hAnsi="Palatino Linotype"/>
          <w:sz w:val="24"/>
          <w:szCs w:val="24"/>
        </w:rPr>
      </w:pPr>
      <w:r w:rsidRPr="005C0053">
        <w:rPr>
          <w:rFonts w:ascii="Palatino Linotype" w:hAnsi="Palatino Linotype"/>
          <w:sz w:val="24"/>
          <w:szCs w:val="24"/>
        </w:rPr>
        <w:t>Starting in the 1980s, the American public began to hear of how psychiatric drugs fixed chemical imbalances in the brain. Depression was said to be due to abnormally low serotonin in the brain, which was put back into balance by Prozac and other SSRI antidepressants that increased serotonergic activity. Similarly, schizophrenia was said to be due to too much dopamine, which was put back into balance by antipsychotics that blocked dopamine pathways.</w:t>
      </w:r>
    </w:p>
    <w:p w14:paraId="7E925E32" w14:textId="77777777" w:rsidR="0032631D" w:rsidRDefault="0032631D" w:rsidP="0032631D">
      <w:pPr>
        <w:ind w:firstLine="720"/>
        <w:rPr>
          <w:rFonts w:ascii="Palatino Linotype" w:hAnsi="Palatino Linotype"/>
          <w:sz w:val="24"/>
          <w:szCs w:val="24"/>
        </w:rPr>
      </w:pPr>
    </w:p>
    <w:p w14:paraId="385A2607" w14:textId="0BCE25F2" w:rsidR="005C0053" w:rsidRPr="005C0053" w:rsidRDefault="005C0053" w:rsidP="0032631D">
      <w:pPr>
        <w:ind w:firstLine="720"/>
        <w:rPr>
          <w:rFonts w:ascii="Palatino Linotype" w:hAnsi="Palatino Linotype"/>
          <w:sz w:val="24"/>
          <w:szCs w:val="24"/>
        </w:rPr>
      </w:pPr>
      <w:r w:rsidRPr="005C0053">
        <w:rPr>
          <w:rFonts w:ascii="Palatino Linotype" w:hAnsi="Palatino Linotype"/>
          <w:sz w:val="24"/>
          <w:szCs w:val="24"/>
        </w:rPr>
        <w:t>This “chemical imbalance” theory arose in the 1960s from a discovery of how neurons communicate and how these classes of drug perturb that process. The passage of messages along neuronal pathways relies on neurotransmitters, which are commonly described as chemical messengers. A neuron will release a neurotransmitter—like dopamine or serotonin—into the tiny gap between neurons, and this molecule then binds with receptors on a second neuron, causing it to fire (or, with certain neurotransmitters, inhibiting such activity). After this occurs, the neurotransmitter is taken back up into the first neuron and stored for later reuse.</w:t>
      </w:r>
    </w:p>
    <w:p w14:paraId="0F0E1643" w14:textId="77777777" w:rsidR="0032631D" w:rsidRDefault="0032631D" w:rsidP="0032631D">
      <w:pPr>
        <w:ind w:firstLine="720"/>
        <w:rPr>
          <w:rFonts w:ascii="Palatino Linotype" w:hAnsi="Palatino Linotype"/>
          <w:sz w:val="24"/>
          <w:szCs w:val="24"/>
        </w:rPr>
      </w:pPr>
    </w:p>
    <w:p w14:paraId="75719C41" w14:textId="5034A796" w:rsidR="005C0053" w:rsidRPr="005C0053" w:rsidRDefault="005C0053" w:rsidP="0032631D">
      <w:pPr>
        <w:ind w:firstLine="720"/>
        <w:rPr>
          <w:rFonts w:ascii="Palatino Linotype" w:hAnsi="Palatino Linotype"/>
          <w:sz w:val="24"/>
          <w:szCs w:val="24"/>
        </w:rPr>
      </w:pPr>
      <w:r w:rsidRPr="005C0053">
        <w:rPr>
          <w:rFonts w:ascii="Palatino Linotype" w:hAnsi="Palatino Linotype"/>
          <w:sz w:val="24"/>
          <w:szCs w:val="24"/>
        </w:rPr>
        <w:t>In the 1960s, researchers discovered that antidepressants blocked the normal removal of serotonin (and other monoamines) from the tiny gap between neurons. Serotonin stayed in the gap longer than normal, which was understood to increase serotonergic activity. This led researchers to hypothesize that depression was due to too little serotonin. Similarly, researchers discovered that antipsychotics blocked dopamine receptors in the brain, and thus they hypothesized that schizophrenia was due to too much dopamine activity.</w:t>
      </w:r>
    </w:p>
    <w:p w14:paraId="76E95A27" w14:textId="77777777" w:rsidR="0032631D" w:rsidRDefault="0032631D" w:rsidP="0032631D">
      <w:pPr>
        <w:ind w:firstLine="720"/>
        <w:rPr>
          <w:rFonts w:ascii="Palatino Linotype" w:hAnsi="Palatino Linotype"/>
          <w:sz w:val="24"/>
          <w:szCs w:val="24"/>
        </w:rPr>
      </w:pPr>
    </w:p>
    <w:p w14:paraId="22844EEB" w14:textId="2808D7A4" w:rsidR="005C0053" w:rsidRPr="005C0053" w:rsidRDefault="005C0053" w:rsidP="0032631D">
      <w:pPr>
        <w:ind w:firstLine="720"/>
        <w:rPr>
          <w:rFonts w:ascii="Palatino Linotype" w:hAnsi="Palatino Linotype"/>
          <w:sz w:val="24"/>
          <w:szCs w:val="24"/>
        </w:rPr>
      </w:pPr>
      <w:r w:rsidRPr="005C0053">
        <w:rPr>
          <w:rFonts w:ascii="Palatino Linotype" w:hAnsi="Palatino Linotype"/>
          <w:sz w:val="24"/>
          <w:szCs w:val="24"/>
        </w:rPr>
        <w:t>Researchers then sought to see whether people diagnosed with depression or schizophrenia actually suffer from such chemical imbalances. As early as 1984, the NIMH declared that they weren’t finding that to be so for depressed patients. “Elevations or decrements in the functioning of serotonergic systems per se are not likely to be associated with depression,” NIMH investigators concluded after one such study.</w:t>
      </w:r>
      <w:r w:rsidR="0032631D">
        <w:rPr>
          <w:rStyle w:val="FootnoteReference"/>
          <w:rFonts w:ascii="Palatino Linotype" w:hAnsi="Palatino Linotype"/>
          <w:sz w:val="24"/>
          <w:szCs w:val="24"/>
        </w:rPr>
        <w:footnoteReference w:id="33"/>
      </w:r>
    </w:p>
    <w:p w14:paraId="48D45707" w14:textId="3260FB5C" w:rsidR="005C0053" w:rsidRPr="005C0053" w:rsidRDefault="005C0053" w:rsidP="0032631D">
      <w:pPr>
        <w:ind w:firstLine="720"/>
        <w:rPr>
          <w:rFonts w:ascii="Palatino Linotype" w:hAnsi="Palatino Linotype"/>
          <w:sz w:val="24"/>
          <w:szCs w:val="24"/>
        </w:rPr>
      </w:pPr>
      <w:r w:rsidRPr="005C0053">
        <w:rPr>
          <w:rFonts w:ascii="Palatino Linotype" w:hAnsi="Palatino Linotype"/>
          <w:sz w:val="24"/>
          <w:szCs w:val="24"/>
        </w:rPr>
        <w:lastRenderedPageBreak/>
        <w:t xml:space="preserve">Research into the low serotonin theory of depression continued, but no matter how hard investigators looked, they couldn’t find that low serotonin was a regular presence in depressed patients. In 2000, Stephen Stahl summed up this bottom-line finding in his textbook </w:t>
      </w:r>
      <w:r w:rsidRPr="005C0053">
        <w:rPr>
          <w:rFonts w:ascii="Palatino Linotype" w:hAnsi="Palatino Linotype"/>
          <w:i/>
          <w:sz w:val="24"/>
          <w:szCs w:val="24"/>
        </w:rPr>
        <w:t xml:space="preserve">Essential Psychopharmacology. </w:t>
      </w:r>
      <w:r w:rsidRPr="005C0053">
        <w:rPr>
          <w:rFonts w:ascii="Palatino Linotype" w:hAnsi="Palatino Linotype"/>
          <w:sz w:val="24"/>
          <w:szCs w:val="24"/>
        </w:rPr>
        <w:t>“There is no clear and convincing evidence that monoamine deficiency accounts for depression; that is, there is no real ‘monoamine’ deficit,” he wrote.</w:t>
      </w:r>
      <w:r w:rsidR="00E01A75">
        <w:rPr>
          <w:rStyle w:val="FootnoteReference"/>
          <w:rFonts w:ascii="Palatino Linotype" w:hAnsi="Palatino Linotype"/>
          <w:sz w:val="24"/>
          <w:szCs w:val="24"/>
        </w:rPr>
        <w:footnoteReference w:id="34"/>
      </w:r>
    </w:p>
    <w:p w14:paraId="3B1F40CF" w14:textId="151B703A" w:rsidR="00AE06F9" w:rsidRDefault="00AE06F9" w:rsidP="005C0053">
      <w:pPr>
        <w:rPr>
          <w:rFonts w:ascii="Palatino Linotype" w:hAnsi="Palatino Linotype"/>
          <w:sz w:val="24"/>
          <w:szCs w:val="24"/>
        </w:rPr>
      </w:pPr>
    </w:p>
    <w:p w14:paraId="02DEAE47" w14:textId="3C66B747" w:rsidR="00E10D60" w:rsidRPr="00E10D60" w:rsidRDefault="00E10D60" w:rsidP="003C5E99">
      <w:pPr>
        <w:ind w:firstLine="720"/>
        <w:rPr>
          <w:rFonts w:ascii="Palatino Linotype" w:hAnsi="Palatino Linotype"/>
          <w:sz w:val="24"/>
          <w:szCs w:val="24"/>
        </w:rPr>
      </w:pPr>
      <w:r w:rsidRPr="00E10D60">
        <w:rPr>
          <w:rFonts w:ascii="Palatino Linotype" w:hAnsi="Palatino Linotype"/>
          <w:sz w:val="24"/>
          <w:szCs w:val="24"/>
        </w:rPr>
        <w:t xml:space="preserve">Although research into the dopamine hyperactivity theory of schizophrenia continued for a longer time, former National Institute of Mental Health Director Steve Hyman, in his 2001 book </w:t>
      </w:r>
      <w:r w:rsidRPr="00E10D60">
        <w:rPr>
          <w:rFonts w:ascii="Palatino Linotype" w:hAnsi="Palatino Linotype"/>
          <w:i/>
          <w:sz w:val="24"/>
          <w:szCs w:val="24"/>
        </w:rPr>
        <w:t xml:space="preserve">Molecular Basis of Neuropharmacology, </w:t>
      </w:r>
      <w:r w:rsidRPr="00E10D60">
        <w:rPr>
          <w:rFonts w:ascii="Palatino Linotype" w:hAnsi="Palatino Linotype"/>
          <w:sz w:val="24"/>
          <w:szCs w:val="24"/>
        </w:rPr>
        <w:t>came to a similar conclusion as Stahl had about the low-serotonin theory of depression. “There is no compelling evidence that a lesion in the dopamine system is a primary cause of schizophrenia,” he wrote.</w:t>
      </w:r>
      <w:r w:rsidR="00D62A26">
        <w:rPr>
          <w:rStyle w:val="FootnoteReference"/>
          <w:rFonts w:ascii="Palatino Linotype" w:hAnsi="Palatino Linotype"/>
          <w:sz w:val="24"/>
          <w:szCs w:val="24"/>
        </w:rPr>
        <w:footnoteReference w:id="35"/>
      </w:r>
    </w:p>
    <w:p w14:paraId="7C65E057" w14:textId="77777777" w:rsidR="003C5E99" w:rsidRDefault="003C5E99" w:rsidP="003C5E99">
      <w:pPr>
        <w:ind w:firstLine="720"/>
        <w:rPr>
          <w:rFonts w:ascii="Palatino Linotype" w:hAnsi="Palatino Linotype"/>
          <w:sz w:val="24"/>
          <w:szCs w:val="24"/>
        </w:rPr>
      </w:pPr>
    </w:p>
    <w:p w14:paraId="33D08853" w14:textId="4C8AD354" w:rsidR="00E10D60" w:rsidRPr="00E10D60" w:rsidRDefault="00E10D60" w:rsidP="003C5E99">
      <w:pPr>
        <w:ind w:firstLine="720"/>
        <w:rPr>
          <w:rFonts w:ascii="Palatino Linotype" w:hAnsi="Palatino Linotype"/>
          <w:sz w:val="24"/>
          <w:szCs w:val="24"/>
        </w:rPr>
      </w:pPr>
      <w:r w:rsidRPr="00E10D60">
        <w:rPr>
          <w:rFonts w:ascii="Palatino Linotype" w:hAnsi="Palatino Linotype"/>
          <w:sz w:val="24"/>
          <w:szCs w:val="24"/>
        </w:rPr>
        <w:t xml:space="preserve">Since that time, any number of prominent psychiatrists have made similar confessions. In 2005, Kenneth Kendler, co-editor in chief of </w:t>
      </w:r>
      <w:r w:rsidRPr="00E10D60">
        <w:rPr>
          <w:rFonts w:ascii="Palatino Linotype" w:hAnsi="Palatino Linotype"/>
          <w:i/>
          <w:sz w:val="24"/>
          <w:szCs w:val="24"/>
        </w:rPr>
        <w:t xml:space="preserve">Psychological Medicine, </w:t>
      </w:r>
      <w:r w:rsidRPr="00E10D60">
        <w:rPr>
          <w:rFonts w:ascii="Palatino Linotype" w:hAnsi="Palatino Linotype"/>
          <w:sz w:val="24"/>
          <w:szCs w:val="24"/>
        </w:rPr>
        <w:t>summed up the chemical imbalance theory in this way: “We have hunted for big simple neurochemical explanations for psychiatric disorders and have not found them.”</w:t>
      </w:r>
      <w:r w:rsidR="00D62A26">
        <w:rPr>
          <w:rStyle w:val="FootnoteReference"/>
          <w:rFonts w:ascii="Palatino Linotype" w:hAnsi="Palatino Linotype"/>
          <w:sz w:val="24"/>
          <w:szCs w:val="24"/>
        </w:rPr>
        <w:footnoteReference w:id="36"/>
      </w:r>
    </w:p>
    <w:p w14:paraId="533A1D09" w14:textId="77777777" w:rsidR="003C5E99" w:rsidRDefault="003C5E99" w:rsidP="003C5E99">
      <w:pPr>
        <w:ind w:firstLine="720"/>
        <w:rPr>
          <w:rFonts w:ascii="Palatino Linotype" w:hAnsi="Palatino Linotype"/>
          <w:sz w:val="24"/>
          <w:szCs w:val="24"/>
        </w:rPr>
      </w:pPr>
    </w:p>
    <w:p w14:paraId="620AAA46" w14:textId="50A89187" w:rsidR="00E10D60" w:rsidRPr="00E10D60" w:rsidRDefault="00E10D60" w:rsidP="003C5E99">
      <w:pPr>
        <w:ind w:firstLine="720"/>
        <w:rPr>
          <w:rFonts w:ascii="Palatino Linotype" w:hAnsi="Palatino Linotype"/>
          <w:sz w:val="24"/>
          <w:szCs w:val="24"/>
        </w:rPr>
      </w:pPr>
      <w:r w:rsidRPr="00E10D60">
        <w:rPr>
          <w:rFonts w:ascii="Palatino Linotype" w:hAnsi="Palatino Linotype"/>
          <w:sz w:val="24"/>
          <w:szCs w:val="24"/>
        </w:rPr>
        <w:t xml:space="preserve">In 2011, Ronald Pies, editor of </w:t>
      </w:r>
      <w:r w:rsidRPr="00E10D60">
        <w:rPr>
          <w:rFonts w:ascii="Palatino Linotype" w:hAnsi="Palatino Linotype"/>
          <w:i/>
          <w:sz w:val="24"/>
          <w:szCs w:val="24"/>
        </w:rPr>
        <w:t xml:space="preserve">Psychiatric Times, </w:t>
      </w:r>
      <w:r w:rsidRPr="00E10D60">
        <w:rPr>
          <w:rFonts w:ascii="Palatino Linotype" w:hAnsi="Palatino Linotype"/>
          <w:sz w:val="24"/>
          <w:szCs w:val="24"/>
        </w:rPr>
        <w:t xml:space="preserve">the trade journal for the </w:t>
      </w:r>
      <w:r w:rsidRPr="00E10D60">
        <w:rPr>
          <w:rFonts w:ascii="Palatino Linotype" w:hAnsi="Palatino Linotype"/>
          <w:i/>
          <w:sz w:val="24"/>
          <w:szCs w:val="24"/>
        </w:rPr>
        <w:t xml:space="preserve">American Psychiatric Association, </w:t>
      </w:r>
      <w:r w:rsidRPr="00E10D60">
        <w:rPr>
          <w:rFonts w:ascii="Palatino Linotype" w:hAnsi="Palatino Linotype"/>
          <w:sz w:val="24"/>
          <w:szCs w:val="24"/>
        </w:rPr>
        <w:t>provided what could be seen as an epitaph for the chemical imbalance theory of mental disorders. “In truth, the chemical imbalance notion was always a kind of urban legend—never a theory seriously propounded by well-informed psychiatrists,” he wrote.</w:t>
      </w:r>
      <w:r w:rsidR="00D62A26">
        <w:rPr>
          <w:rStyle w:val="FootnoteReference"/>
          <w:rFonts w:ascii="Palatino Linotype" w:hAnsi="Palatino Linotype"/>
          <w:sz w:val="24"/>
          <w:szCs w:val="24"/>
        </w:rPr>
        <w:footnoteReference w:id="37"/>
      </w:r>
    </w:p>
    <w:p w14:paraId="6D9612B0" w14:textId="77777777" w:rsidR="003C5E99" w:rsidRDefault="003C5E99" w:rsidP="003C5E99">
      <w:pPr>
        <w:ind w:firstLine="720"/>
        <w:rPr>
          <w:rFonts w:ascii="Palatino Linotype" w:hAnsi="Palatino Linotype"/>
          <w:sz w:val="24"/>
          <w:szCs w:val="24"/>
        </w:rPr>
      </w:pPr>
    </w:p>
    <w:p w14:paraId="4E333345" w14:textId="7778BA75" w:rsidR="00E10D60" w:rsidRPr="00E10D60" w:rsidRDefault="00E10D60" w:rsidP="003C5E99">
      <w:pPr>
        <w:ind w:firstLine="720"/>
        <w:rPr>
          <w:rFonts w:ascii="Palatino Linotype" w:hAnsi="Palatino Linotype"/>
          <w:sz w:val="24"/>
          <w:szCs w:val="24"/>
        </w:rPr>
      </w:pPr>
      <w:r w:rsidRPr="00E10D60">
        <w:rPr>
          <w:rFonts w:ascii="Palatino Linotype" w:hAnsi="Palatino Linotype"/>
          <w:sz w:val="24"/>
          <w:szCs w:val="24"/>
        </w:rPr>
        <w:t>The public, of course, had been told otherwise, by leaders in American psychiatry and in drug-company advertisements. Pies’ comment told of an “inconvenient truth” present in the scientific literature. Almost from the first moment that the chemical imbalance hypothesis had been tested, it had never panned out.</w:t>
      </w:r>
    </w:p>
    <w:p w14:paraId="2287DD1D" w14:textId="77777777" w:rsidR="00E10D60" w:rsidRPr="00E10D60" w:rsidRDefault="00E10D60" w:rsidP="00E10D60">
      <w:pPr>
        <w:rPr>
          <w:rFonts w:ascii="Palatino Linotype" w:hAnsi="Palatino Linotype"/>
          <w:sz w:val="24"/>
          <w:szCs w:val="24"/>
        </w:rPr>
      </w:pPr>
    </w:p>
    <w:p w14:paraId="513A584F" w14:textId="77777777" w:rsidR="00E10D60" w:rsidRPr="00E10D60" w:rsidRDefault="00E10D60" w:rsidP="00E10D60">
      <w:pPr>
        <w:rPr>
          <w:rFonts w:ascii="Palatino Linotype" w:hAnsi="Palatino Linotype"/>
          <w:b/>
          <w:bCs/>
          <w:sz w:val="24"/>
          <w:szCs w:val="24"/>
        </w:rPr>
      </w:pPr>
      <w:r w:rsidRPr="00E10D60">
        <w:rPr>
          <w:rFonts w:ascii="Palatino Linotype" w:hAnsi="Palatino Linotype"/>
          <w:b/>
          <w:bCs/>
          <w:sz w:val="24"/>
          <w:szCs w:val="24"/>
        </w:rPr>
        <w:t>Long-Term Outcomes in the Modern Era</w:t>
      </w:r>
    </w:p>
    <w:p w14:paraId="465AA012" w14:textId="77777777" w:rsidR="00E10D60" w:rsidRPr="00E10D60" w:rsidRDefault="00E10D60" w:rsidP="003C5E99">
      <w:pPr>
        <w:ind w:firstLine="720"/>
        <w:rPr>
          <w:rFonts w:ascii="Palatino Linotype" w:hAnsi="Palatino Linotype"/>
          <w:sz w:val="24"/>
          <w:szCs w:val="24"/>
        </w:rPr>
      </w:pPr>
      <w:r w:rsidRPr="00E10D60">
        <w:rPr>
          <w:rFonts w:ascii="Palatino Linotype" w:hAnsi="Palatino Linotype"/>
          <w:sz w:val="24"/>
          <w:szCs w:val="24"/>
        </w:rPr>
        <w:t xml:space="preserve">A medical advance in care can be expected to produce better outcomes for those diagnosed with the disease. The discovery of insulin for diabetes reduced mortality and </w:t>
      </w:r>
      <w:r w:rsidRPr="00E10D60">
        <w:rPr>
          <w:rFonts w:ascii="Palatino Linotype" w:hAnsi="Palatino Linotype"/>
          <w:sz w:val="24"/>
          <w:szCs w:val="24"/>
        </w:rPr>
        <w:lastRenderedPageBreak/>
        <w:t xml:space="preserve">morbidity for “diabetics”; the polio vaccine eliminated that disease as a childhood threat in the United States; new drugs and treatments for several types of cancer have markedly improved survival rates. However, that has not proven to be so with psychiatric drugs. Instead, outcomes for schizophrenia and mood disorders have </w:t>
      </w:r>
      <w:r w:rsidRPr="00E10D60">
        <w:rPr>
          <w:rFonts w:ascii="Palatino Linotype" w:hAnsi="Palatino Linotype"/>
          <w:i/>
          <w:sz w:val="24"/>
          <w:szCs w:val="24"/>
        </w:rPr>
        <w:t xml:space="preserve">worsened </w:t>
      </w:r>
      <w:r w:rsidRPr="00E10D60">
        <w:rPr>
          <w:rFonts w:ascii="Palatino Linotype" w:hAnsi="Palatino Linotype"/>
          <w:sz w:val="24"/>
          <w:szCs w:val="24"/>
        </w:rPr>
        <w:t>in the modern era.</w:t>
      </w:r>
    </w:p>
    <w:p w14:paraId="27AE3DB9" w14:textId="77777777" w:rsidR="00D62A26" w:rsidRDefault="00D62A26" w:rsidP="00D62A26">
      <w:pPr>
        <w:ind w:firstLine="720"/>
        <w:rPr>
          <w:rFonts w:ascii="Palatino Linotype" w:hAnsi="Palatino Linotype"/>
          <w:sz w:val="24"/>
          <w:szCs w:val="24"/>
        </w:rPr>
      </w:pPr>
    </w:p>
    <w:p w14:paraId="1DBBB66C" w14:textId="68B2DE05" w:rsidR="00E10D60" w:rsidRPr="00E10D60" w:rsidRDefault="00E10D60" w:rsidP="00D62A26">
      <w:pPr>
        <w:ind w:firstLine="720"/>
        <w:rPr>
          <w:rFonts w:ascii="Palatino Linotype" w:hAnsi="Palatino Linotype"/>
          <w:sz w:val="24"/>
          <w:szCs w:val="24"/>
        </w:rPr>
      </w:pPr>
      <w:r w:rsidRPr="00E10D60">
        <w:rPr>
          <w:rFonts w:ascii="Palatino Linotype" w:hAnsi="Palatino Linotype"/>
          <w:sz w:val="24"/>
          <w:szCs w:val="24"/>
        </w:rPr>
        <w:t>Antipsychotics are regularly presented to the public as an essential long-term treatment for schizophrenia and other psychotic disorders. Yet, long-term recovery rates for schizophrenia have declined in the antipsychotic era. Recovery rates stood at 18 percent in the decade before the arrival of chlorpromazine in asylum medicine and stayed at this level until the mid-1970s. The rate then dropped to 10 percent from 1976 to 1996, and since 1996, long-term recovery rates have declined even further to 6 percent. This is the lowest recovery rate for schizophrenia patients since this diagnosis was first invented in the early 1900s.</w:t>
      </w:r>
      <w:r w:rsidR="00D62A26">
        <w:rPr>
          <w:rStyle w:val="FootnoteReference"/>
          <w:rFonts w:ascii="Palatino Linotype" w:hAnsi="Palatino Linotype"/>
          <w:sz w:val="24"/>
          <w:szCs w:val="24"/>
        </w:rPr>
        <w:footnoteReference w:id="38"/>
      </w:r>
    </w:p>
    <w:p w14:paraId="6CDFF948" w14:textId="77777777" w:rsidR="00E10D60" w:rsidRDefault="00E10D60" w:rsidP="005C0053">
      <w:pPr>
        <w:rPr>
          <w:rFonts w:ascii="Palatino Linotype" w:hAnsi="Palatino Linotype"/>
          <w:sz w:val="24"/>
          <w:szCs w:val="24"/>
        </w:rPr>
      </w:pPr>
    </w:p>
    <w:p w14:paraId="17C52630" w14:textId="77777777" w:rsidR="00E10D60" w:rsidRPr="00E10D60" w:rsidRDefault="00E10D60" w:rsidP="00D62A26">
      <w:pPr>
        <w:ind w:firstLine="720"/>
        <w:rPr>
          <w:rFonts w:ascii="Palatino Linotype" w:hAnsi="Palatino Linotype"/>
          <w:sz w:val="24"/>
          <w:szCs w:val="24"/>
        </w:rPr>
      </w:pPr>
      <w:r w:rsidRPr="00E10D60">
        <w:rPr>
          <w:rFonts w:ascii="Palatino Linotype" w:hAnsi="Palatino Linotype"/>
          <w:sz w:val="24"/>
          <w:szCs w:val="24"/>
        </w:rPr>
        <w:t>The best long-term study of schizophrenia patients in the modern era was conducted by Martin Harrow and Thomas Jobe. They enrolled 200 psychotic patients from two Chicago-area hospitals starting in the late 1970s, who were treated conventionally and then discharged. Theirs was a young cohort (median age of 22 years, nine months), and then Harrow and Jobe assessed how they were faring at periodic follow-ups over the next two decades, measuring their symptoms and how well they were functioning, and whether they were taking antipsychotic medication.</w:t>
      </w:r>
    </w:p>
    <w:p w14:paraId="350D37AD" w14:textId="77777777" w:rsidR="00D62A26" w:rsidRDefault="00D62A26" w:rsidP="00D62A26">
      <w:pPr>
        <w:ind w:firstLine="720"/>
        <w:rPr>
          <w:rFonts w:ascii="Palatino Linotype" w:hAnsi="Palatino Linotype"/>
          <w:sz w:val="24"/>
          <w:szCs w:val="24"/>
        </w:rPr>
      </w:pPr>
    </w:p>
    <w:p w14:paraId="0156BF0E" w14:textId="5DFE6488" w:rsidR="00E10D60" w:rsidRPr="00E10D60" w:rsidRDefault="00E10D60" w:rsidP="00D62A26">
      <w:pPr>
        <w:ind w:firstLine="720"/>
        <w:rPr>
          <w:rFonts w:ascii="Palatino Linotype" w:hAnsi="Palatino Linotype"/>
          <w:sz w:val="24"/>
          <w:szCs w:val="24"/>
        </w:rPr>
      </w:pPr>
      <w:r w:rsidRPr="00E10D60">
        <w:rPr>
          <w:rFonts w:ascii="Palatino Linotype" w:hAnsi="Palatino Linotype"/>
          <w:sz w:val="24"/>
          <w:szCs w:val="24"/>
        </w:rPr>
        <w:t>At the end of two years, there was little difference between those who remained medication compliant and those who had stopped taking antipsychotic medication. However, over the next two-and-one-half years, the outcomes of the two groups notably diverged—those off antipsychotic medication were functioning better and less likely to be psychotic. At the end of 15 years, the recovery rate for those who had stopped taking antipsychotic medication was eight times higher than for those who stayed on the drugs (40 percent versus 5 percent).</w:t>
      </w:r>
      <w:r w:rsidR="00D62A26">
        <w:rPr>
          <w:rStyle w:val="FootnoteReference"/>
          <w:rFonts w:ascii="Palatino Linotype" w:hAnsi="Palatino Linotype"/>
          <w:sz w:val="24"/>
          <w:szCs w:val="24"/>
        </w:rPr>
        <w:footnoteReference w:id="39"/>
      </w:r>
      <w:r w:rsidRPr="00E10D60">
        <w:rPr>
          <w:rFonts w:ascii="Palatino Linotype" w:hAnsi="Palatino Linotype"/>
          <w:sz w:val="24"/>
          <w:szCs w:val="24"/>
        </w:rPr>
        <w:t xml:space="preserve"> “I conclude that patients with schizophrenia not on antipsychotics have significantly better global functioning than those on antipsychotics,” Harrow reported at the 2008 annual conference of the American Psychiatric Association.</w:t>
      </w:r>
      <w:r w:rsidR="00D62A26">
        <w:rPr>
          <w:rStyle w:val="FootnoteReference"/>
          <w:rFonts w:ascii="Palatino Linotype" w:hAnsi="Palatino Linotype"/>
          <w:sz w:val="24"/>
          <w:szCs w:val="24"/>
        </w:rPr>
        <w:footnoteReference w:id="40"/>
      </w:r>
    </w:p>
    <w:p w14:paraId="2B882F84" w14:textId="77777777" w:rsidR="00D62A26" w:rsidRDefault="00D62A26" w:rsidP="00D62A26">
      <w:pPr>
        <w:ind w:firstLine="720"/>
        <w:rPr>
          <w:rFonts w:ascii="Palatino Linotype" w:hAnsi="Palatino Linotype"/>
          <w:sz w:val="24"/>
          <w:szCs w:val="24"/>
        </w:rPr>
      </w:pPr>
    </w:p>
    <w:p w14:paraId="77EC37BA" w14:textId="4D1E1441" w:rsidR="00E10D60" w:rsidRPr="00E10D60" w:rsidRDefault="00E10D60" w:rsidP="00D62A26">
      <w:pPr>
        <w:ind w:firstLine="720"/>
        <w:rPr>
          <w:rFonts w:ascii="Palatino Linotype" w:hAnsi="Palatino Linotype"/>
          <w:sz w:val="24"/>
          <w:szCs w:val="24"/>
        </w:rPr>
      </w:pPr>
      <w:r w:rsidRPr="00E10D60">
        <w:rPr>
          <w:rFonts w:ascii="Palatino Linotype" w:hAnsi="Palatino Linotype"/>
          <w:sz w:val="24"/>
          <w:szCs w:val="24"/>
        </w:rPr>
        <w:t>Other long-term studies have similarly reported higher long-term recovery rates among those off antipsychotic medication.</w:t>
      </w:r>
      <w:r w:rsidR="00D62A26">
        <w:rPr>
          <w:rStyle w:val="FootnoteReference"/>
          <w:rFonts w:ascii="Palatino Linotype" w:hAnsi="Palatino Linotype"/>
          <w:sz w:val="24"/>
          <w:szCs w:val="24"/>
        </w:rPr>
        <w:footnoteReference w:id="41"/>
      </w:r>
      <w:r w:rsidRPr="00E10D60">
        <w:rPr>
          <w:rFonts w:ascii="Palatino Linotype" w:hAnsi="Palatino Linotype"/>
          <w:sz w:val="24"/>
          <w:szCs w:val="24"/>
        </w:rPr>
        <w:t xml:space="preserve"> One thought is that the drugs, over time, induce a “dopamine supersensitivity” that makes patients more biologically vulnerable to psychosis than they would be in the normal course of their illness.</w:t>
      </w:r>
      <w:r w:rsidR="00D10BCE">
        <w:rPr>
          <w:rStyle w:val="FootnoteReference"/>
          <w:rFonts w:ascii="Palatino Linotype" w:hAnsi="Palatino Linotype"/>
          <w:sz w:val="24"/>
          <w:szCs w:val="24"/>
        </w:rPr>
        <w:footnoteReference w:id="42"/>
      </w:r>
      <w:r w:rsidRPr="00E10D60">
        <w:rPr>
          <w:rFonts w:ascii="Palatino Linotype" w:hAnsi="Palatino Linotype"/>
          <w:sz w:val="24"/>
          <w:szCs w:val="24"/>
        </w:rPr>
        <w:t xml:space="preserve"> The drugs also have been found to shrink the brain, with this shrinkage associated with a decline in functional outcomes. </w:t>
      </w:r>
      <w:r w:rsidR="00D10BCE">
        <w:rPr>
          <w:rStyle w:val="FootnoteReference"/>
          <w:rFonts w:ascii="Palatino Linotype" w:hAnsi="Palatino Linotype"/>
          <w:sz w:val="24"/>
          <w:szCs w:val="24"/>
        </w:rPr>
        <w:footnoteReference w:id="43"/>
      </w:r>
    </w:p>
    <w:p w14:paraId="1949CE93" w14:textId="77777777" w:rsidR="00103681" w:rsidRDefault="00103681" w:rsidP="00103681">
      <w:pPr>
        <w:ind w:firstLine="720"/>
        <w:rPr>
          <w:rFonts w:ascii="Palatino Linotype" w:hAnsi="Palatino Linotype"/>
          <w:sz w:val="24"/>
          <w:szCs w:val="24"/>
        </w:rPr>
      </w:pPr>
    </w:p>
    <w:p w14:paraId="0973A12E" w14:textId="67DBABB7" w:rsidR="009A32DE" w:rsidRPr="009A32DE" w:rsidRDefault="009A32DE" w:rsidP="00103681">
      <w:pPr>
        <w:ind w:firstLine="720"/>
        <w:rPr>
          <w:rFonts w:ascii="Palatino Linotype" w:hAnsi="Palatino Linotype"/>
          <w:sz w:val="24"/>
          <w:szCs w:val="24"/>
        </w:rPr>
      </w:pPr>
      <w:r w:rsidRPr="009A32DE">
        <w:rPr>
          <w:rFonts w:ascii="Palatino Linotype" w:hAnsi="Palatino Linotype"/>
          <w:sz w:val="24"/>
          <w:szCs w:val="24"/>
        </w:rPr>
        <w:t>The outcomes literature for antidepressants is similarly dispiriting. Prior to the introduction of antidepressants, depression was understood to be an episodic disorder. People hospitalized for an episode of depression could expect to get better with time, and only a smaller percentage would become chronically ill. But early on, at least a few clinicians reported that depression in the “antidepressant” era seemed to be running a more chronic course, which led some researchers, beginning in the 1990s, to suggest that the drugs could induce a tardive dysphoria, meaning a persistent depressive state.</w:t>
      </w:r>
      <w:r w:rsidR="00103681">
        <w:rPr>
          <w:rStyle w:val="FootnoteReference"/>
          <w:rFonts w:ascii="Palatino Linotype" w:hAnsi="Palatino Linotype"/>
          <w:sz w:val="24"/>
          <w:szCs w:val="24"/>
        </w:rPr>
        <w:footnoteReference w:id="44"/>
      </w:r>
    </w:p>
    <w:p w14:paraId="33FB0E38" w14:textId="77777777" w:rsidR="009A32DE" w:rsidRPr="009A32DE" w:rsidRDefault="009A32DE" w:rsidP="009A32DE">
      <w:pPr>
        <w:rPr>
          <w:rFonts w:ascii="Palatino Linotype" w:hAnsi="Palatino Linotype"/>
          <w:sz w:val="24"/>
          <w:szCs w:val="24"/>
        </w:rPr>
      </w:pPr>
      <w:r w:rsidRPr="009A32DE">
        <w:rPr>
          <w:rFonts w:ascii="Palatino Linotype" w:hAnsi="Palatino Linotype"/>
          <w:sz w:val="24"/>
          <w:szCs w:val="24"/>
        </w:rPr>
        <w:lastRenderedPageBreak/>
        <w:t>Numerous studies in the last 25 years have reported outcomes that tell of antidepressants worsening the long-term course of depression. For instance:</w:t>
      </w:r>
    </w:p>
    <w:p w14:paraId="415D5023" w14:textId="3DE57178" w:rsidR="009A32DE" w:rsidRPr="009A32DE" w:rsidRDefault="009A32DE" w:rsidP="009A32DE">
      <w:pPr>
        <w:numPr>
          <w:ilvl w:val="0"/>
          <w:numId w:val="2"/>
        </w:numPr>
        <w:rPr>
          <w:rFonts w:ascii="Palatino Linotype" w:hAnsi="Palatino Linotype"/>
          <w:sz w:val="24"/>
          <w:szCs w:val="24"/>
        </w:rPr>
      </w:pPr>
      <w:r w:rsidRPr="009A32DE">
        <w:rPr>
          <w:rFonts w:ascii="Palatino Linotype" w:hAnsi="Palatino Linotype"/>
          <w:sz w:val="24"/>
          <w:szCs w:val="24"/>
        </w:rPr>
        <w:t>A large NIMH study of depressed patients in the 1990s found that those who took antidepressants were six times more likely to suffer a cessation of their normal functioning than those who didn’t take the drugs, and seven times more likely to become disabled.</w:t>
      </w:r>
      <w:r w:rsidR="00103681">
        <w:rPr>
          <w:rStyle w:val="FootnoteReference"/>
          <w:rFonts w:ascii="Palatino Linotype" w:hAnsi="Palatino Linotype"/>
          <w:sz w:val="24"/>
          <w:szCs w:val="24"/>
        </w:rPr>
        <w:footnoteReference w:id="45"/>
      </w:r>
    </w:p>
    <w:p w14:paraId="33D827BB" w14:textId="70B1601F" w:rsidR="009A32DE" w:rsidRPr="009A32DE" w:rsidRDefault="009A32DE" w:rsidP="009A32DE">
      <w:pPr>
        <w:numPr>
          <w:ilvl w:val="0"/>
          <w:numId w:val="2"/>
        </w:numPr>
        <w:rPr>
          <w:rFonts w:ascii="Palatino Linotype" w:hAnsi="Palatino Linotype"/>
          <w:sz w:val="24"/>
          <w:szCs w:val="24"/>
        </w:rPr>
      </w:pPr>
      <w:r w:rsidRPr="009A32DE">
        <w:rPr>
          <w:rFonts w:ascii="Palatino Linotype" w:hAnsi="Palatino Linotype"/>
          <w:sz w:val="24"/>
          <w:szCs w:val="24"/>
        </w:rPr>
        <w:t>A World Health Organization Study found that patients treated with antidepressants were twice as likely to be depressed at the end of one year as those who weren’t treated with the drugs.</w:t>
      </w:r>
      <w:r w:rsidR="00103681">
        <w:rPr>
          <w:rStyle w:val="FootnoteReference"/>
          <w:rFonts w:ascii="Palatino Linotype" w:hAnsi="Palatino Linotype"/>
          <w:sz w:val="24"/>
          <w:szCs w:val="24"/>
        </w:rPr>
        <w:footnoteReference w:id="46"/>
      </w:r>
    </w:p>
    <w:p w14:paraId="067902AF" w14:textId="1B49AFB1" w:rsidR="009A32DE" w:rsidRPr="009A32DE" w:rsidRDefault="009A32DE" w:rsidP="009A32DE">
      <w:pPr>
        <w:numPr>
          <w:ilvl w:val="0"/>
          <w:numId w:val="2"/>
        </w:numPr>
        <w:rPr>
          <w:rFonts w:ascii="Palatino Linotype" w:hAnsi="Palatino Linotype"/>
          <w:sz w:val="24"/>
          <w:szCs w:val="24"/>
        </w:rPr>
      </w:pPr>
      <w:r w:rsidRPr="009A32DE">
        <w:rPr>
          <w:rFonts w:ascii="Palatino Linotype" w:hAnsi="Palatino Linotype"/>
          <w:sz w:val="24"/>
          <w:szCs w:val="24"/>
        </w:rPr>
        <w:t>A Canadian study found that, over the course of five years, those diagnosed with depression who took antidepressants were depressed on average 19 weeks per year versus 11 weeks for those who didn’t take the medication.</w:t>
      </w:r>
      <w:r w:rsidR="00103681">
        <w:rPr>
          <w:rStyle w:val="FootnoteReference"/>
          <w:rFonts w:ascii="Palatino Linotype" w:hAnsi="Palatino Linotype"/>
          <w:sz w:val="24"/>
          <w:szCs w:val="24"/>
        </w:rPr>
        <w:footnoteReference w:id="47"/>
      </w:r>
    </w:p>
    <w:p w14:paraId="6B68AD91" w14:textId="39E7E9A2" w:rsidR="009A32DE" w:rsidRPr="009A32DE" w:rsidRDefault="009A32DE" w:rsidP="009A32DE">
      <w:pPr>
        <w:numPr>
          <w:ilvl w:val="0"/>
          <w:numId w:val="2"/>
        </w:numPr>
        <w:rPr>
          <w:rFonts w:ascii="Palatino Linotype" w:hAnsi="Palatino Linotype"/>
          <w:sz w:val="24"/>
          <w:szCs w:val="24"/>
        </w:rPr>
      </w:pPr>
      <w:r w:rsidRPr="009A32DE">
        <w:rPr>
          <w:rFonts w:ascii="Palatino Linotype" w:hAnsi="Palatino Linotype"/>
          <w:sz w:val="24"/>
          <w:szCs w:val="24"/>
        </w:rPr>
        <w:t>Swiss researchers determined that depressed patients treated in the hospital with antidepressants were three times more likely to be rehospitalized for depression in the 12 months following discharge than those treated in the hospital without their use.</w:t>
      </w:r>
      <w:r w:rsidR="00103681">
        <w:rPr>
          <w:rStyle w:val="FootnoteReference"/>
          <w:rFonts w:ascii="Palatino Linotype" w:hAnsi="Palatino Linotype"/>
          <w:sz w:val="24"/>
          <w:szCs w:val="24"/>
        </w:rPr>
        <w:footnoteReference w:id="48"/>
      </w:r>
    </w:p>
    <w:p w14:paraId="29D61563" w14:textId="42D53AE5" w:rsidR="00413E72" w:rsidRDefault="009A32DE" w:rsidP="00413E72">
      <w:pPr>
        <w:numPr>
          <w:ilvl w:val="0"/>
          <w:numId w:val="2"/>
        </w:numPr>
        <w:rPr>
          <w:rFonts w:ascii="Palatino Linotype" w:hAnsi="Palatino Linotype"/>
          <w:sz w:val="24"/>
          <w:szCs w:val="24"/>
        </w:rPr>
      </w:pPr>
      <w:r w:rsidRPr="009A32DE">
        <w:rPr>
          <w:rFonts w:ascii="Palatino Linotype" w:hAnsi="Palatino Linotype"/>
          <w:sz w:val="24"/>
          <w:szCs w:val="24"/>
        </w:rPr>
        <w:t>French researchers, in a study of 35,000 first-episode patients, found that the longer</w:t>
      </w:r>
      <w:r>
        <w:rPr>
          <w:rFonts w:ascii="Palatino Linotype" w:hAnsi="Palatino Linotype"/>
          <w:sz w:val="24"/>
          <w:szCs w:val="24"/>
        </w:rPr>
        <w:t xml:space="preserve"> </w:t>
      </w:r>
      <w:r w:rsidRPr="009A32DE">
        <w:rPr>
          <w:rFonts w:ascii="Palatino Linotype" w:hAnsi="Palatino Linotype"/>
          <w:sz w:val="24"/>
          <w:szCs w:val="24"/>
        </w:rPr>
        <w:t>patients were treated with an antidepressant before withdrawing from the drug, the higher the rate of relapse. Those who were exposed to an antidepressant for longer than six months had more than twice the risk of relapse than those exposed for less than one month.</w:t>
      </w:r>
      <w:r w:rsidR="00B50EBE">
        <w:rPr>
          <w:rStyle w:val="FootnoteReference"/>
          <w:rFonts w:ascii="Palatino Linotype" w:hAnsi="Palatino Linotype"/>
          <w:sz w:val="24"/>
          <w:szCs w:val="24"/>
        </w:rPr>
        <w:footnoteReference w:id="49"/>
      </w:r>
    </w:p>
    <w:p w14:paraId="7CB6BC4D" w14:textId="77777777" w:rsidR="00B50EBE" w:rsidRDefault="00B50EBE" w:rsidP="00B50EBE">
      <w:pPr>
        <w:ind w:firstLine="674"/>
        <w:rPr>
          <w:rFonts w:ascii="Palatino Linotype" w:hAnsi="Palatino Linotype"/>
          <w:sz w:val="24"/>
          <w:szCs w:val="24"/>
        </w:rPr>
      </w:pPr>
    </w:p>
    <w:p w14:paraId="1BC0BF69" w14:textId="778A2DBA" w:rsidR="009A32DE" w:rsidRPr="00413E72" w:rsidRDefault="009A32DE" w:rsidP="00B50EBE">
      <w:pPr>
        <w:ind w:firstLine="674"/>
        <w:rPr>
          <w:rFonts w:ascii="Palatino Linotype" w:hAnsi="Palatino Linotype"/>
          <w:sz w:val="24"/>
          <w:szCs w:val="24"/>
        </w:rPr>
      </w:pPr>
      <w:r w:rsidRPr="00413E72">
        <w:rPr>
          <w:rFonts w:ascii="Palatino Linotype" w:hAnsi="Palatino Linotype"/>
          <w:sz w:val="24"/>
          <w:szCs w:val="24"/>
        </w:rPr>
        <w:t>In a similar vein, bipolar disorder also runs a more chronic course today than it did in the pre-antidepressant era.</w:t>
      </w:r>
      <w:r w:rsidR="00B50EBE">
        <w:rPr>
          <w:rStyle w:val="FootnoteReference"/>
          <w:rFonts w:ascii="Palatino Linotype" w:hAnsi="Palatino Linotype"/>
          <w:sz w:val="24"/>
          <w:szCs w:val="24"/>
        </w:rPr>
        <w:footnoteReference w:id="50"/>
      </w:r>
      <w:r w:rsidRPr="00413E72">
        <w:rPr>
          <w:rFonts w:ascii="Palatino Linotype" w:hAnsi="Palatino Linotype"/>
          <w:sz w:val="24"/>
          <w:szCs w:val="24"/>
        </w:rPr>
        <w:t xml:space="preserve"> People so diagnosed today are more functionally compromised than before; they are more likely to show cognitive deficits than in the pre-drug era; and they are more likely to suffer recurrent episodes. Much of this increased chronicity is blamed on the use of antidepressants to treat the depressive </w:t>
      </w:r>
      <w:r w:rsidRPr="00413E72">
        <w:rPr>
          <w:rFonts w:ascii="Palatino Linotype" w:hAnsi="Palatino Linotype"/>
          <w:sz w:val="24"/>
          <w:szCs w:val="24"/>
        </w:rPr>
        <w:lastRenderedPageBreak/>
        <w:t>symptoms of bipolar illness.</w:t>
      </w:r>
      <w:r w:rsidR="00B50EBE">
        <w:rPr>
          <w:rStyle w:val="FootnoteReference"/>
          <w:rFonts w:ascii="Palatino Linotype" w:hAnsi="Palatino Linotype"/>
          <w:sz w:val="24"/>
          <w:szCs w:val="24"/>
        </w:rPr>
        <w:footnoteReference w:id="51"/>
      </w:r>
    </w:p>
    <w:p w14:paraId="304947E3" w14:textId="77777777" w:rsidR="00B50EBE" w:rsidRDefault="00B50EBE" w:rsidP="00B50EBE">
      <w:pPr>
        <w:ind w:firstLine="674"/>
        <w:rPr>
          <w:rFonts w:ascii="Palatino Linotype" w:hAnsi="Palatino Linotype"/>
          <w:sz w:val="24"/>
          <w:szCs w:val="24"/>
        </w:rPr>
      </w:pPr>
    </w:p>
    <w:p w14:paraId="4C7BDFBB" w14:textId="0DF53F5A" w:rsidR="009A32DE" w:rsidRPr="009A32DE" w:rsidRDefault="009A32DE" w:rsidP="00B50EBE">
      <w:pPr>
        <w:ind w:firstLine="674"/>
        <w:rPr>
          <w:rFonts w:ascii="Palatino Linotype" w:hAnsi="Palatino Linotype"/>
          <w:sz w:val="24"/>
          <w:szCs w:val="24"/>
        </w:rPr>
      </w:pPr>
      <w:r w:rsidRPr="009A32DE">
        <w:rPr>
          <w:rFonts w:ascii="Palatino Linotype" w:hAnsi="Palatino Linotype"/>
          <w:sz w:val="24"/>
          <w:szCs w:val="24"/>
        </w:rPr>
        <w:t>In addition, the use of antidepressants to treat unipolar depression has helped drive a dramatic increase in the number of people diagnosed as bipolar. A large study of 87,290 patients diagnosed with depression or anxiety between 1997 and 2001 found that those treated with antidepressants were three times more likely to convert to bipolar than those who weren’t exposed to such drugs.</w:t>
      </w:r>
      <w:r w:rsidR="00B50EBE">
        <w:rPr>
          <w:rStyle w:val="FootnoteReference"/>
          <w:rFonts w:ascii="Palatino Linotype" w:hAnsi="Palatino Linotype"/>
          <w:sz w:val="24"/>
          <w:szCs w:val="24"/>
        </w:rPr>
        <w:footnoteReference w:id="52"/>
      </w:r>
    </w:p>
    <w:p w14:paraId="4742F8CD" w14:textId="3A7357F5" w:rsidR="009A32DE" w:rsidRDefault="009A32DE" w:rsidP="00413E72">
      <w:pPr>
        <w:rPr>
          <w:rFonts w:ascii="Palatino Linotype" w:hAnsi="Palatino Linotype"/>
          <w:sz w:val="24"/>
          <w:szCs w:val="24"/>
        </w:rPr>
      </w:pPr>
      <w:r w:rsidRPr="009A32DE">
        <w:rPr>
          <w:rFonts w:ascii="Palatino Linotype" w:hAnsi="Palatino Linotype"/>
          <w:sz w:val="24"/>
          <w:szCs w:val="24"/>
        </w:rPr>
        <w:t>Such has been the change in outcomes for patients diagno</w:t>
      </w:r>
      <w:r w:rsidR="00B50EBE">
        <w:rPr>
          <w:rFonts w:ascii="Palatino Linotype" w:hAnsi="Palatino Linotype"/>
          <w:sz w:val="24"/>
          <w:szCs w:val="24"/>
        </w:rPr>
        <w:t>s</w:t>
      </w:r>
      <w:r w:rsidRPr="009A32DE">
        <w:rPr>
          <w:rFonts w:ascii="Palatino Linotype" w:hAnsi="Palatino Linotype"/>
          <w:sz w:val="24"/>
          <w:szCs w:val="24"/>
        </w:rPr>
        <w:t>ed with schizophrenia, depression, and bipolar disorder in the modern drug era. The recovery rate for patients diagnosed with schizophrenia is now the worst it has even been; depression runs a much more chronic course than it did in the pre-antidepressant era; and long-term bipolar outcomes have noticeably declined too.</w:t>
      </w:r>
    </w:p>
    <w:p w14:paraId="112D5A51" w14:textId="77777777" w:rsidR="00413E72" w:rsidRPr="009A32DE" w:rsidRDefault="00413E72" w:rsidP="00413E72">
      <w:pPr>
        <w:ind w:left="990"/>
        <w:rPr>
          <w:rFonts w:ascii="Palatino Linotype" w:hAnsi="Palatino Linotype"/>
          <w:sz w:val="24"/>
          <w:szCs w:val="24"/>
        </w:rPr>
      </w:pPr>
    </w:p>
    <w:p w14:paraId="767C7527" w14:textId="77777777" w:rsidR="009A32DE" w:rsidRPr="00B50EBE" w:rsidRDefault="009A32DE" w:rsidP="00413E72">
      <w:pPr>
        <w:rPr>
          <w:rFonts w:ascii="Palatino Linotype" w:hAnsi="Palatino Linotype"/>
          <w:b/>
          <w:bCs/>
          <w:sz w:val="24"/>
          <w:szCs w:val="24"/>
        </w:rPr>
      </w:pPr>
      <w:r w:rsidRPr="00B50EBE">
        <w:rPr>
          <w:rFonts w:ascii="Palatino Linotype" w:hAnsi="Palatino Linotype"/>
          <w:b/>
          <w:bCs/>
          <w:sz w:val="24"/>
          <w:szCs w:val="24"/>
        </w:rPr>
        <w:t>Disability and Early Death in the Prozac Era</w:t>
      </w:r>
    </w:p>
    <w:p w14:paraId="61C91767" w14:textId="5FF8C5B0" w:rsidR="00413E72" w:rsidRDefault="009A32DE" w:rsidP="002137F7">
      <w:pPr>
        <w:ind w:firstLine="720"/>
        <w:rPr>
          <w:rFonts w:ascii="Palatino Linotype" w:hAnsi="Palatino Linotype"/>
          <w:sz w:val="24"/>
          <w:szCs w:val="24"/>
        </w:rPr>
      </w:pPr>
      <w:r w:rsidRPr="009A32DE">
        <w:rPr>
          <w:rFonts w:ascii="Palatino Linotype" w:hAnsi="Palatino Linotype"/>
          <w:sz w:val="24"/>
          <w:szCs w:val="24"/>
        </w:rPr>
        <w:t>In 1987, which was the year that Prozac came to market, there were 1.25 million adults in the United States who received an SSI or SSDI payment because they were disabled by a mental illness, or one in every 184 Americans. Twenty years later, there were 3.97 million adults receiving an SSI or SSDI payment because they were disabled by a mental illness, or one in every 76 Americans.</w:t>
      </w:r>
      <w:r w:rsidR="00B50EBE">
        <w:rPr>
          <w:rStyle w:val="FootnoteReference"/>
          <w:rFonts w:ascii="Palatino Linotype" w:hAnsi="Palatino Linotype"/>
          <w:sz w:val="24"/>
          <w:szCs w:val="24"/>
        </w:rPr>
        <w:footnoteReference w:id="53"/>
      </w:r>
    </w:p>
    <w:p w14:paraId="700A3F47" w14:textId="77777777" w:rsidR="0079127E" w:rsidRDefault="0079127E" w:rsidP="0079127E">
      <w:pPr>
        <w:ind w:firstLine="720"/>
        <w:rPr>
          <w:rFonts w:ascii="Palatino Linotype" w:hAnsi="Palatino Linotype"/>
          <w:sz w:val="24"/>
          <w:szCs w:val="24"/>
        </w:rPr>
      </w:pPr>
    </w:p>
    <w:p w14:paraId="7A3D205C" w14:textId="0B6C8496" w:rsidR="0016311B" w:rsidRPr="0016311B" w:rsidRDefault="009A32DE" w:rsidP="0079127E">
      <w:pPr>
        <w:ind w:firstLine="720"/>
        <w:rPr>
          <w:rFonts w:ascii="Palatino Linotype" w:hAnsi="Palatino Linotype"/>
          <w:sz w:val="24"/>
          <w:szCs w:val="24"/>
        </w:rPr>
      </w:pPr>
      <w:r w:rsidRPr="009A32DE">
        <w:rPr>
          <w:rFonts w:ascii="Palatino Linotype" w:hAnsi="Palatino Linotype"/>
          <w:sz w:val="24"/>
          <w:szCs w:val="24"/>
        </w:rPr>
        <w:t>This rise in disability has been primarily driven by an increase in disability due to mood disorders. There were 425,000 adults disabled by mood disorders in 1994. This number jumped to 2.1 million in 2013, nearly a five-fold increase in 25 years. This same rise in disability due to mood disorders has occurred in country after country that has adopted widespread use</w:t>
      </w:r>
      <w:r w:rsidR="0079127E">
        <w:rPr>
          <w:rFonts w:ascii="Palatino Linotype" w:hAnsi="Palatino Linotype"/>
          <w:sz w:val="24"/>
          <w:szCs w:val="24"/>
        </w:rPr>
        <w:t xml:space="preserve"> </w:t>
      </w:r>
      <w:r w:rsidR="0016311B" w:rsidRPr="0016311B">
        <w:rPr>
          <w:rFonts w:ascii="Palatino Linotype" w:hAnsi="Palatino Linotype"/>
          <w:sz w:val="24"/>
          <w:szCs w:val="24"/>
        </w:rPr>
        <w:t>of antidepressants: Iceland, Australia, Sweden, Denmark, and the UK, among others.</w:t>
      </w:r>
      <w:r w:rsidR="0079127E">
        <w:rPr>
          <w:rStyle w:val="FootnoteReference"/>
          <w:rFonts w:ascii="Palatino Linotype" w:hAnsi="Palatino Linotype"/>
          <w:sz w:val="24"/>
          <w:szCs w:val="24"/>
        </w:rPr>
        <w:footnoteReference w:id="54"/>
      </w:r>
      <w:r w:rsidR="0016311B" w:rsidRPr="0016311B">
        <w:rPr>
          <w:rFonts w:ascii="Palatino Linotype" w:hAnsi="Palatino Linotype"/>
          <w:sz w:val="24"/>
          <w:szCs w:val="24"/>
        </w:rPr>
        <w:t xml:space="preserve">  In a similar vein, the number of children under age 18 receiving a disability benefit due to a psychiatric disorder rose from 16,200 in 1987 to 561,000 in 2007.</w:t>
      </w:r>
      <w:r w:rsidR="0079127E">
        <w:rPr>
          <w:rStyle w:val="FootnoteReference"/>
          <w:rFonts w:ascii="Palatino Linotype" w:hAnsi="Palatino Linotype"/>
          <w:sz w:val="24"/>
          <w:szCs w:val="24"/>
        </w:rPr>
        <w:footnoteReference w:id="55"/>
      </w:r>
    </w:p>
    <w:p w14:paraId="78AAC0C1" w14:textId="77777777" w:rsidR="0079127E" w:rsidRDefault="0079127E" w:rsidP="0079127E">
      <w:pPr>
        <w:ind w:firstLine="720"/>
        <w:rPr>
          <w:rFonts w:ascii="Palatino Linotype" w:hAnsi="Palatino Linotype"/>
          <w:sz w:val="24"/>
          <w:szCs w:val="24"/>
        </w:rPr>
      </w:pPr>
    </w:p>
    <w:p w14:paraId="160F52C6" w14:textId="03724DF6" w:rsidR="0016311B" w:rsidRPr="0016311B" w:rsidRDefault="0016311B" w:rsidP="0079127E">
      <w:pPr>
        <w:ind w:firstLine="720"/>
        <w:rPr>
          <w:rFonts w:ascii="Palatino Linotype" w:hAnsi="Palatino Linotype"/>
          <w:sz w:val="24"/>
          <w:szCs w:val="24"/>
        </w:rPr>
      </w:pPr>
      <w:r w:rsidRPr="0016311B">
        <w:rPr>
          <w:rFonts w:ascii="Palatino Linotype" w:hAnsi="Palatino Linotype"/>
          <w:sz w:val="24"/>
          <w:szCs w:val="24"/>
        </w:rPr>
        <w:t xml:space="preserve">Early death among those diagnosed with schizophrenia or bipolar disorders has also grown worse in that past forty years. To assess mortality rates, researchers compare death rates among a select population to a matched cohort in the general population; a </w:t>
      </w:r>
      <w:r w:rsidRPr="0016311B">
        <w:rPr>
          <w:rFonts w:ascii="Palatino Linotype" w:hAnsi="Palatino Linotype"/>
          <w:sz w:val="24"/>
          <w:szCs w:val="24"/>
        </w:rPr>
        <w:lastRenderedPageBreak/>
        <w:t>standard mortality rate (SMR) of two for the select population means that the group is twice as likely to die in any one year. In 2007, Australian researchers conducted a systematic review of published reports of mortality rates of schizophrenia patients in 25 nations. They found that the SMRs for “all-cause mortality” rose from 1.84 in the 1970s to 2.98 in the 1980s to 3.20 in the 1990s.</w:t>
      </w:r>
      <w:r w:rsidR="0079127E">
        <w:rPr>
          <w:rStyle w:val="FootnoteReference"/>
          <w:rFonts w:ascii="Palatino Linotype" w:hAnsi="Palatino Linotype"/>
          <w:sz w:val="24"/>
          <w:szCs w:val="24"/>
        </w:rPr>
        <w:footnoteReference w:id="56"/>
      </w:r>
      <w:r w:rsidRPr="0016311B">
        <w:rPr>
          <w:rFonts w:ascii="Palatino Linotype" w:hAnsi="Palatino Linotype"/>
          <w:sz w:val="24"/>
          <w:szCs w:val="24"/>
        </w:rPr>
        <w:t xml:space="preserve"> Similarly, in 2017, UK investigators reported that the SMR for bipolar patients had risen steadily from 2000 to 2014, increasing by 0.14 per year, while the SMR for schizophrenia patients had increased gradually from 2000 to 2010 (0.11 per year) and then more rapidly from 2010 to 2014 (0.34 per year.) “The mortality gap between individuals with bipolar disorders and schizophrenia, and the general population, is widening,” they wrote.</w:t>
      </w:r>
      <w:r w:rsidR="0079127E">
        <w:rPr>
          <w:rStyle w:val="FootnoteReference"/>
          <w:rFonts w:ascii="Palatino Linotype" w:hAnsi="Palatino Linotype"/>
          <w:sz w:val="24"/>
          <w:szCs w:val="24"/>
        </w:rPr>
        <w:footnoteReference w:id="57"/>
      </w:r>
    </w:p>
    <w:p w14:paraId="64E7383D" w14:textId="77777777" w:rsidR="0016311B" w:rsidRPr="0016311B" w:rsidRDefault="0016311B" w:rsidP="0016311B">
      <w:pPr>
        <w:rPr>
          <w:rFonts w:ascii="Palatino Linotype" w:hAnsi="Palatino Linotype"/>
          <w:sz w:val="24"/>
          <w:szCs w:val="24"/>
        </w:rPr>
      </w:pPr>
    </w:p>
    <w:p w14:paraId="156572D9" w14:textId="77777777" w:rsidR="0016311B" w:rsidRPr="0016311B" w:rsidRDefault="0016311B" w:rsidP="0016311B">
      <w:pPr>
        <w:rPr>
          <w:rFonts w:ascii="Palatino Linotype" w:hAnsi="Palatino Linotype"/>
          <w:sz w:val="24"/>
          <w:szCs w:val="24"/>
        </w:rPr>
      </w:pPr>
    </w:p>
    <w:p w14:paraId="6FF3BDE1" w14:textId="77777777" w:rsidR="0016311B" w:rsidRPr="0016311B" w:rsidRDefault="0016311B" w:rsidP="0016311B">
      <w:pPr>
        <w:rPr>
          <w:rFonts w:ascii="Palatino Linotype" w:hAnsi="Palatino Linotype"/>
          <w:b/>
          <w:bCs/>
          <w:sz w:val="24"/>
          <w:szCs w:val="24"/>
        </w:rPr>
      </w:pPr>
      <w:r w:rsidRPr="0016311B">
        <w:rPr>
          <w:rFonts w:ascii="Palatino Linotype" w:hAnsi="Palatino Linotype"/>
          <w:b/>
          <w:bCs/>
          <w:sz w:val="24"/>
          <w:szCs w:val="24"/>
        </w:rPr>
        <w:t>Conclusion</w:t>
      </w:r>
    </w:p>
    <w:p w14:paraId="74C852C7" w14:textId="77777777" w:rsidR="0016311B" w:rsidRPr="0016311B" w:rsidRDefault="0016311B" w:rsidP="002631C1">
      <w:pPr>
        <w:ind w:firstLine="720"/>
        <w:rPr>
          <w:rFonts w:ascii="Palatino Linotype" w:hAnsi="Palatino Linotype"/>
          <w:sz w:val="24"/>
          <w:szCs w:val="24"/>
        </w:rPr>
      </w:pPr>
      <w:r w:rsidRPr="0016311B">
        <w:rPr>
          <w:rFonts w:ascii="Palatino Linotype" w:hAnsi="Palatino Linotype"/>
          <w:sz w:val="24"/>
          <w:szCs w:val="24"/>
        </w:rPr>
        <w:t>Conventional histories of psychiatry tell of how the arrival of chlorpromazine in asylum medicine kicked off a psychopharmacological revolution, a great advance in care. The new antipsychotics are said to have made deinstitutionalization possible. Then in the 1980s and early 1990s, a second generation of antidepressants and antipsychotics brought to market were said to be safer and more effective than the first generation. The public was informed that these drugs fixed chemical imbalances in the brain, a claim that told of an extraordinary medical advance.</w:t>
      </w:r>
    </w:p>
    <w:p w14:paraId="38B41021" w14:textId="77777777" w:rsidR="002631C1" w:rsidRDefault="002631C1" w:rsidP="002631C1">
      <w:pPr>
        <w:ind w:firstLine="720"/>
        <w:rPr>
          <w:rFonts w:ascii="Palatino Linotype" w:hAnsi="Palatino Linotype"/>
          <w:sz w:val="24"/>
          <w:szCs w:val="24"/>
        </w:rPr>
      </w:pPr>
    </w:p>
    <w:p w14:paraId="441C87AA" w14:textId="133022CF" w:rsidR="0016311B" w:rsidRPr="0016311B" w:rsidRDefault="0016311B" w:rsidP="002631C1">
      <w:pPr>
        <w:ind w:firstLine="720"/>
        <w:rPr>
          <w:rFonts w:ascii="Palatino Linotype" w:hAnsi="Palatino Linotype"/>
          <w:sz w:val="24"/>
          <w:szCs w:val="24"/>
        </w:rPr>
      </w:pPr>
      <w:r w:rsidRPr="0016311B">
        <w:rPr>
          <w:rFonts w:ascii="Palatino Linotype" w:hAnsi="Palatino Linotype"/>
          <w:sz w:val="24"/>
          <w:szCs w:val="24"/>
        </w:rPr>
        <w:t>Such is the story of progress that has been told. But none of it holds up under scrutiny. The arrival of antipsychotics did not increase hospital discharge rates for first-episode schizophrenia patients; the chemical imbalance theory of mental disorders did not pan out; outcomes for schizophrenia, depression, and bipolar disorder have worsened in the modern era. Disability due to psychiatric disorders has soared, and the mortality rate for those with serious mental disorders, compared to the general population, has grown worse in the last two decades.</w:t>
      </w:r>
    </w:p>
    <w:p w14:paraId="77B9DF6C" w14:textId="77777777" w:rsidR="002631C1" w:rsidRDefault="002631C1" w:rsidP="002631C1">
      <w:pPr>
        <w:ind w:firstLine="720"/>
        <w:rPr>
          <w:rFonts w:ascii="Palatino Linotype" w:hAnsi="Palatino Linotype"/>
          <w:sz w:val="24"/>
          <w:szCs w:val="24"/>
        </w:rPr>
      </w:pPr>
    </w:p>
    <w:p w14:paraId="158D69D7" w14:textId="6EDB8CEA" w:rsidR="0016311B" w:rsidRPr="0016311B" w:rsidRDefault="0016311B" w:rsidP="002631C1">
      <w:pPr>
        <w:ind w:firstLine="720"/>
        <w:rPr>
          <w:rFonts w:ascii="Palatino Linotype" w:hAnsi="Palatino Linotype"/>
          <w:sz w:val="24"/>
          <w:szCs w:val="24"/>
        </w:rPr>
      </w:pPr>
      <w:r w:rsidRPr="0016311B">
        <w:rPr>
          <w:rFonts w:ascii="Palatino Linotype" w:hAnsi="Palatino Linotype"/>
          <w:sz w:val="24"/>
          <w:szCs w:val="24"/>
        </w:rPr>
        <w:t>That is not a scientific story of great progress. Instead, tragically, it is a story of great failure.</w:t>
      </w:r>
    </w:p>
    <w:p w14:paraId="6D2211DA" w14:textId="77777777" w:rsidR="0016311B" w:rsidRPr="0016311B" w:rsidRDefault="0016311B" w:rsidP="0016311B">
      <w:pPr>
        <w:rPr>
          <w:rFonts w:ascii="Palatino Linotype" w:hAnsi="Palatino Linotype"/>
          <w:sz w:val="24"/>
          <w:szCs w:val="24"/>
        </w:rPr>
      </w:pPr>
    </w:p>
    <w:p w14:paraId="4EBE97E2" w14:textId="77777777" w:rsidR="002F06DD" w:rsidRDefault="002F06DD" w:rsidP="00702946">
      <w:pPr>
        <w:rPr>
          <w:rFonts w:ascii="Palatino Linotype" w:hAnsi="Palatino Linotype"/>
          <w:sz w:val="24"/>
          <w:szCs w:val="24"/>
        </w:rPr>
        <w:sectPr w:rsidR="002F06DD">
          <w:footnotePr>
            <w:numRestart w:val="eachSect"/>
          </w:footnotePr>
          <w:pgSz w:w="12240" w:h="15840"/>
          <w:pgMar w:top="1440" w:right="1440" w:bottom="1440" w:left="1440" w:header="720" w:footer="720" w:gutter="0"/>
          <w:cols w:space="720"/>
          <w:docGrid w:linePitch="360"/>
        </w:sectPr>
      </w:pPr>
    </w:p>
    <w:p w14:paraId="259A66AF" w14:textId="77777777" w:rsidR="00823D4B" w:rsidRDefault="00823D4B" w:rsidP="00823D4B">
      <w:pPr>
        <w:jc w:val="center"/>
        <w:rPr>
          <w:rFonts w:ascii="Palatino Linotype" w:hAnsi="Palatino Linotype"/>
          <w:b/>
          <w:bCs/>
          <w:sz w:val="24"/>
          <w:szCs w:val="24"/>
        </w:rPr>
      </w:pPr>
    </w:p>
    <w:p w14:paraId="6260D469" w14:textId="77777777" w:rsidR="00823D4B" w:rsidRDefault="00823D4B" w:rsidP="00823D4B">
      <w:pPr>
        <w:jc w:val="center"/>
        <w:rPr>
          <w:rFonts w:ascii="Palatino Linotype" w:hAnsi="Palatino Linotype"/>
          <w:b/>
          <w:bCs/>
          <w:sz w:val="24"/>
          <w:szCs w:val="24"/>
        </w:rPr>
      </w:pPr>
    </w:p>
    <w:p w14:paraId="11852D3C" w14:textId="2F621F8B" w:rsidR="00ED6244" w:rsidRPr="002F06DD" w:rsidRDefault="002F06DD" w:rsidP="00823D4B">
      <w:pPr>
        <w:jc w:val="center"/>
        <w:rPr>
          <w:rFonts w:ascii="Palatino Linotype" w:hAnsi="Palatino Linotype"/>
          <w:b/>
          <w:bCs/>
          <w:sz w:val="24"/>
          <w:szCs w:val="24"/>
        </w:rPr>
      </w:pPr>
      <w:r w:rsidRPr="002F06DD">
        <w:rPr>
          <w:rFonts w:ascii="Palatino Linotype" w:hAnsi="Palatino Linotype"/>
          <w:b/>
          <w:bCs/>
          <w:sz w:val="24"/>
          <w:szCs w:val="24"/>
        </w:rPr>
        <w:t>RESEARCH, NEUROSCIENCE, MODERN PSYCHOTHERAPIES, AND THE NOETIC EFFECTS OF THE FALL</w:t>
      </w:r>
    </w:p>
    <w:p w14:paraId="6BA97F6C" w14:textId="77777777" w:rsidR="002F06DD" w:rsidRPr="002F06DD" w:rsidRDefault="002F06DD" w:rsidP="002F06DD">
      <w:pPr>
        <w:jc w:val="center"/>
        <w:rPr>
          <w:rFonts w:ascii="Palatino Linotype" w:hAnsi="Palatino Linotype"/>
          <w:b/>
          <w:bCs/>
          <w:sz w:val="24"/>
          <w:szCs w:val="24"/>
        </w:rPr>
      </w:pPr>
    </w:p>
    <w:p w14:paraId="35BD221B" w14:textId="082F9F92" w:rsidR="002F06DD" w:rsidRDefault="002F06DD" w:rsidP="002F06DD">
      <w:pPr>
        <w:jc w:val="center"/>
        <w:rPr>
          <w:rFonts w:ascii="Palatino Linotype" w:hAnsi="Palatino Linotype"/>
          <w:b/>
          <w:bCs/>
          <w:i/>
          <w:iCs/>
          <w:sz w:val="24"/>
          <w:szCs w:val="24"/>
        </w:rPr>
      </w:pPr>
      <w:r w:rsidRPr="002F06DD">
        <w:rPr>
          <w:rFonts w:ascii="Palatino Linotype" w:hAnsi="Palatino Linotype"/>
          <w:b/>
          <w:bCs/>
          <w:i/>
          <w:iCs/>
          <w:sz w:val="24"/>
          <w:szCs w:val="24"/>
        </w:rPr>
        <w:t>BY DR. JENN CHEN</w:t>
      </w:r>
    </w:p>
    <w:p w14:paraId="41530988" w14:textId="77777777" w:rsidR="002F06DD" w:rsidRDefault="002F06DD" w:rsidP="002F06DD">
      <w:pPr>
        <w:rPr>
          <w:rFonts w:ascii="Palatino Linotype" w:hAnsi="Palatino Linotype"/>
          <w:b/>
          <w:bCs/>
          <w:i/>
          <w:iCs/>
          <w:sz w:val="24"/>
          <w:szCs w:val="24"/>
        </w:rPr>
      </w:pPr>
    </w:p>
    <w:p w14:paraId="59EEA2F6" w14:textId="77777777" w:rsidR="00823D4B" w:rsidRDefault="00823D4B" w:rsidP="00823D4B">
      <w:pPr>
        <w:ind w:firstLine="720"/>
        <w:rPr>
          <w:rFonts w:ascii="Palatino Linotype" w:hAnsi="Palatino Linotype"/>
          <w:sz w:val="24"/>
          <w:szCs w:val="24"/>
        </w:rPr>
      </w:pPr>
    </w:p>
    <w:p w14:paraId="29477E0D" w14:textId="1CCA4384" w:rsidR="002F06DD" w:rsidRPr="002F06DD" w:rsidRDefault="002F06DD" w:rsidP="00823D4B">
      <w:pPr>
        <w:ind w:firstLine="720"/>
        <w:rPr>
          <w:rFonts w:ascii="Palatino Linotype" w:hAnsi="Palatino Linotype"/>
          <w:sz w:val="24"/>
          <w:szCs w:val="24"/>
        </w:rPr>
      </w:pPr>
      <w:r w:rsidRPr="002F06DD">
        <w:rPr>
          <w:rFonts w:ascii="Palatino Linotype" w:hAnsi="Palatino Linotype"/>
          <w:sz w:val="24"/>
          <w:szCs w:val="24"/>
        </w:rPr>
        <w:t>I have heard it said in biblical counseling that information at the descriptive level can be useful.</w:t>
      </w:r>
      <w:r w:rsidR="00823D4B">
        <w:rPr>
          <w:rStyle w:val="FootnoteReference"/>
          <w:rFonts w:ascii="Palatino Linotype" w:hAnsi="Palatino Linotype"/>
          <w:sz w:val="24"/>
          <w:szCs w:val="24"/>
        </w:rPr>
        <w:footnoteReference w:id="58"/>
      </w:r>
      <w:r w:rsidRPr="002F06DD">
        <w:rPr>
          <w:rFonts w:ascii="Palatino Linotype" w:hAnsi="Palatino Linotype"/>
          <w:sz w:val="24"/>
          <w:szCs w:val="24"/>
        </w:rPr>
        <w:t xml:space="preserve"> Yet it is crucial to recognize the noetic effects of the Fall affect even the descriptives.</w:t>
      </w:r>
      <w:r w:rsidR="00823D4B">
        <w:rPr>
          <w:rStyle w:val="FootnoteReference"/>
          <w:rFonts w:ascii="Palatino Linotype" w:hAnsi="Palatino Linotype"/>
          <w:sz w:val="24"/>
          <w:szCs w:val="24"/>
        </w:rPr>
        <w:footnoteReference w:id="59"/>
      </w:r>
      <w:r w:rsidRPr="002F06DD">
        <w:rPr>
          <w:rFonts w:ascii="Palatino Linotype" w:hAnsi="Palatino Linotype"/>
          <w:sz w:val="24"/>
          <w:szCs w:val="24"/>
        </w:rPr>
        <w:t xml:space="preserve"> As Cornelius Van Til stated, there are no brute facts. The goal of this essay is to share challenges with what can appear to be merely descriptive in research, neuroscience, and modern psychotherapies.</w:t>
      </w:r>
      <w:r w:rsidR="00823D4B">
        <w:rPr>
          <w:rStyle w:val="FootnoteReference"/>
          <w:rFonts w:ascii="Palatino Linotype" w:hAnsi="Palatino Linotype"/>
          <w:sz w:val="24"/>
          <w:szCs w:val="24"/>
        </w:rPr>
        <w:footnoteReference w:id="60"/>
      </w:r>
    </w:p>
    <w:p w14:paraId="36BB7916" w14:textId="77777777" w:rsidR="002F06DD" w:rsidRPr="002F06DD" w:rsidRDefault="002F06DD" w:rsidP="002F06DD">
      <w:pPr>
        <w:rPr>
          <w:rFonts w:ascii="Palatino Linotype" w:hAnsi="Palatino Linotype"/>
          <w:sz w:val="24"/>
          <w:szCs w:val="24"/>
        </w:rPr>
      </w:pPr>
    </w:p>
    <w:p w14:paraId="51211BF4" w14:textId="77777777" w:rsidR="002F06DD" w:rsidRPr="002F06DD" w:rsidRDefault="002F06DD" w:rsidP="002F06DD">
      <w:pPr>
        <w:rPr>
          <w:rFonts w:ascii="Palatino Linotype" w:hAnsi="Palatino Linotype"/>
          <w:b/>
          <w:bCs/>
          <w:sz w:val="24"/>
          <w:szCs w:val="24"/>
        </w:rPr>
      </w:pPr>
      <w:r w:rsidRPr="002F06DD">
        <w:rPr>
          <w:rFonts w:ascii="Palatino Linotype" w:hAnsi="Palatino Linotype"/>
          <w:b/>
          <w:bCs/>
          <w:sz w:val="24"/>
          <w:szCs w:val="24"/>
        </w:rPr>
        <w:t>Research</w:t>
      </w:r>
    </w:p>
    <w:p w14:paraId="7E3A4D1B" w14:textId="0665838E" w:rsidR="002F06DD" w:rsidRPr="002F06DD" w:rsidRDefault="002F06DD" w:rsidP="00823D4B">
      <w:pPr>
        <w:ind w:firstLine="720"/>
        <w:rPr>
          <w:rFonts w:ascii="Palatino Linotype" w:hAnsi="Palatino Linotype"/>
          <w:sz w:val="24"/>
          <w:szCs w:val="24"/>
        </w:rPr>
      </w:pPr>
      <w:r w:rsidRPr="002F06DD">
        <w:rPr>
          <w:rFonts w:ascii="Palatino Linotype" w:hAnsi="Palatino Linotype"/>
          <w:sz w:val="24"/>
          <w:szCs w:val="24"/>
        </w:rPr>
        <w:t xml:space="preserve">Understanding the complications of research is foundational to discernment with neuroscience research and how it may be loosely used to promote modern psychotherapies. Not all science is created equal given there are differing levels of complexity between disciplines and lack of consensus within some disciplines. The </w:t>
      </w:r>
      <w:r w:rsidRPr="002F06DD">
        <w:rPr>
          <w:rFonts w:ascii="Palatino Linotype" w:hAnsi="Palatino Linotype"/>
          <w:i/>
          <w:sz w:val="24"/>
          <w:szCs w:val="24"/>
        </w:rPr>
        <w:t xml:space="preserve">Essential Science Indicators </w:t>
      </w:r>
      <w:r w:rsidRPr="002F06DD">
        <w:rPr>
          <w:rFonts w:ascii="Palatino Linotype" w:hAnsi="Palatino Linotype"/>
          <w:sz w:val="24"/>
          <w:szCs w:val="24"/>
        </w:rPr>
        <w:t>database categorizes psychology and psychiatry research together,</w:t>
      </w:r>
      <w:r w:rsidR="00823D4B">
        <w:rPr>
          <w:rStyle w:val="FootnoteReference"/>
          <w:rFonts w:ascii="Palatino Linotype" w:hAnsi="Palatino Linotype"/>
          <w:sz w:val="24"/>
          <w:szCs w:val="24"/>
        </w:rPr>
        <w:footnoteReference w:id="61"/>
      </w:r>
      <w:r w:rsidRPr="002F06DD">
        <w:rPr>
          <w:rFonts w:ascii="Palatino Linotype" w:hAnsi="Palatino Linotype"/>
          <w:sz w:val="24"/>
          <w:szCs w:val="24"/>
        </w:rPr>
        <w:t xml:space="preserve"> which is not surprising given they use similar, if not the same, psychometrics.</w:t>
      </w:r>
      <w:r w:rsidR="00823D4B">
        <w:rPr>
          <w:rStyle w:val="FootnoteReference"/>
          <w:rFonts w:ascii="Palatino Linotype" w:hAnsi="Palatino Linotype"/>
          <w:sz w:val="24"/>
          <w:szCs w:val="24"/>
        </w:rPr>
        <w:footnoteReference w:id="62"/>
      </w:r>
    </w:p>
    <w:p w14:paraId="34D5B625" w14:textId="77777777" w:rsidR="002F06DD" w:rsidRDefault="002F06DD" w:rsidP="002F06DD">
      <w:pPr>
        <w:rPr>
          <w:rFonts w:ascii="Palatino Linotype" w:hAnsi="Palatino Linotype"/>
          <w:sz w:val="24"/>
          <w:szCs w:val="24"/>
        </w:rPr>
      </w:pPr>
    </w:p>
    <w:p w14:paraId="097ACAF6" w14:textId="62937092" w:rsidR="002F06DD" w:rsidRPr="002F06DD" w:rsidRDefault="002F06DD" w:rsidP="006B0F05">
      <w:pPr>
        <w:ind w:firstLine="720"/>
        <w:rPr>
          <w:rFonts w:ascii="Palatino Linotype" w:hAnsi="Palatino Linotype"/>
          <w:sz w:val="24"/>
          <w:szCs w:val="24"/>
        </w:rPr>
      </w:pPr>
      <w:r w:rsidRPr="002F06DD">
        <w:rPr>
          <w:rFonts w:ascii="Palatino Linotype" w:hAnsi="Palatino Linotype"/>
          <w:sz w:val="24"/>
          <w:szCs w:val="24"/>
        </w:rPr>
        <w:t xml:space="preserve">Scott Scheall writes, </w:t>
      </w:r>
      <w:r w:rsidRPr="002F06DD">
        <w:rPr>
          <w:rFonts w:ascii="Palatino Linotype" w:hAnsi="Palatino Linotype"/>
          <w:i/>
          <w:sz w:val="24"/>
          <w:szCs w:val="24"/>
        </w:rPr>
        <w:t xml:space="preserve">“science is more complex than advertised.” </w:t>
      </w:r>
      <w:r w:rsidRPr="002F06DD">
        <w:rPr>
          <w:rFonts w:ascii="Palatino Linotype" w:hAnsi="Palatino Linotype"/>
          <w:sz w:val="24"/>
          <w:szCs w:val="24"/>
        </w:rPr>
        <w:t xml:space="preserve">He discusses the scientific method paradigm as a “given and [scientists] do anything but try to falsify it.” The scientific method is conducted by “fallible human beings with subjective emotions, prejudices, and personal motivations, who have been sorted into communities of like-minded scientists, largely according to the methodological preconceptions they imbibed </w:t>
      </w:r>
      <w:r w:rsidRPr="002F06DD">
        <w:rPr>
          <w:rFonts w:ascii="Palatino Linotype" w:hAnsi="Palatino Linotype"/>
          <w:sz w:val="24"/>
          <w:szCs w:val="24"/>
        </w:rPr>
        <w:lastRenderedPageBreak/>
        <w:t>in graduate school.”</w:t>
      </w:r>
      <w:r w:rsidR="006B0F05">
        <w:rPr>
          <w:rStyle w:val="FootnoteReference"/>
          <w:rFonts w:ascii="Palatino Linotype" w:hAnsi="Palatino Linotype"/>
          <w:sz w:val="24"/>
          <w:szCs w:val="24"/>
        </w:rPr>
        <w:footnoteReference w:id="63"/>
      </w:r>
    </w:p>
    <w:p w14:paraId="421E121B" w14:textId="77777777" w:rsidR="00296FBA" w:rsidRDefault="00296FBA" w:rsidP="002F06DD">
      <w:pPr>
        <w:rPr>
          <w:rFonts w:ascii="Palatino Linotype" w:hAnsi="Palatino Linotype"/>
          <w:sz w:val="24"/>
          <w:szCs w:val="24"/>
        </w:rPr>
      </w:pPr>
    </w:p>
    <w:p w14:paraId="46C8F0E5" w14:textId="7923B848" w:rsidR="002F06DD" w:rsidRPr="002F06DD" w:rsidRDefault="002F06DD" w:rsidP="00296FBA">
      <w:pPr>
        <w:ind w:firstLine="720"/>
        <w:rPr>
          <w:rFonts w:ascii="Palatino Linotype" w:hAnsi="Palatino Linotype"/>
          <w:sz w:val="24"/>
          <w:szCs w:val="24"/>
        </w:rPr>
      </w:pPr>
      <w:r w:rsidRPr="002F06DD">
        <w:rPr>
          <w:rFonts w:ascii="Palatino Linotype" w:hAnsi="Palatino Linotype"/>
          <w:sz w:val="24"/>
          <w:szCs w:val="24"/>
        </w:rPr>
        <w:t>Four factors undermining science are fraud, bias, negligence, and hype.</w:t>
      </w:r>
      <w:r w:rsidR="00296FBA">
        <w:rPr>
          <w:rStyle w:val="FootnoteReference"/>
          <w:rFonts w:ascii="Palatino Linotype" w:hAnsi="Palatino Linotype"/>
          <w:sz w:val="24"/>
          <w:szCs w:val="24"/>
        </w:rPr>
        <w:footnoteReference w:id="64"/>
      </w:r>
    </w:p>
    <w:p w14:paraId="25CE5D81" w14:textId="77777777" w:rsidR="002F06DD" w:rsidRPr="002F06DD" w:rsidRDefault="002F06DD" w:rsidP="002F06DD">
      <w:pPr>
        <w:rPr>
          <w:rFonts w:ascii="Palatino Linotype" w:hAnsi="Palatino Linotype"/>
          <w:sz w:val="24"/>
          <w:szCs w:val="24"/>
        </w:rPr>
      </w:pPr>
    </w:p>
    <w:p w14:paraId="78E5EF4F" w14:textId="77777777" w:rsidR="002F06DD" w:rsidRPr="002F06DD" w:rsidRDefault="002F06DD" w:rsidP="002F06DD">
      <w:pPr>
        <w:rPr>
          <w:rFonts w:ascii="Palatino Linotype" w:hAnsi="Palatino Linotype"/>
          <w:sz w:val="24"/>
          <w:szCs w:val="24"/>
        </w:rPr>
      </w:pPr>
    </w:p>
    <w:p w14:paraId="281A948C" w14:textId="77777777" w:rsidR="002F06DD" w:rsidRPr="002F06DD" w:rsidRDefault="002F06DD" w:rsidP="002F06DD">
      <w:pPr>
        <w:rPr>
          <w:rFonts w:ascii="Palatino Linotype" w:hAnsi="Palatino Linotype"/>
          <w:b/>
          <w:bCs/>
          <w:sz w:val="24"/>
          <w:szCs w:val="24"/>
        </w:rPr>
      </w:pPr>
      <w:r w:rsidRPr="002F06DD">
        <w:rPr>
          <w:rFonts w:ascii="Palatino Linotype" w:hAnsi="Palatino Linotype"/>
          <w:b/>
          <w:bCs/>
          <w:sz w:val="24"/>
          <w:szCs w:val="24"/>
        </w:rPr>
        <w:t>Fraud</w:t>
      </w:r>
    </w:p>
    <w:p w14:paraId="1EC19973" w14:textId="0D385810" w:rsidR="002F06DD" w:rsidRPr="002F06DD" w:rsidRDefault="002F06DD" w:rsidP="00296FBA">
      <w:pPr>
        <w:ind w:firstLine="720"/>
        <w:rPr>
          <w:rFonts w:ascii="Palatino Linotype" w:hAnsi="Palatino Linotype"/>
          <w:sz w:val="24"/>
          <w:szCs w:val="24"/>
        </w:rPr>
      </w:pPr>
      <w:r w:rsidRPr="002F06DD">
        <w:rPr>
          <w:rFonts w:ascii="Palatino Linotype" w:hAnsi="Palatino Linotype"/>
          <w:sz w:val="24"/>
          <w:szCs w:val="24"/>
        </w:rPr>
        <w:t xml:space="preserve">Science relies on trust that studies were actually conducted, the data was gathered and analyzed, and the outcomes are as reported. Yet fraud exists. One meta-analysis indicated that “1.97% of scientists admitted to have fabricated, falsified or modified data or results at least once,” “up to 33.7% admitted other </w:t>
      </w:r>
      <w:r w:rsidRPr="002F06DD">
        <w:rPr>
          <w:rFonts w:ascii="Palatino Linotype" w:hAnsi="Palatino Linotype"/>
          <w:i/>
          <w:sz w:val="24"/>
          <w:szCs w:val="24"/>
        </w:rPr>
        <w:t xml:space="preserve">questionable research practices </w:t>
      </w:r>
      <w:r w:rsidRPr="002F06DD">
        <w:rPr>
          <w:rFonts w:ascii="Palatino Linotype" w:hAnsi="Palatino Linotype"/>
          <w:sz w:val="24"/>
          <w:szCs w:val="24"/>
        </w:rPr>
        <w:t>(QRPs),” and those surveyed believed up to 72 percent of their colleagues engaged in QRPs.</w:t>
      </w:r>
      <w:r w:rsidR="00296FBA">
        <w:rPr>
          <w:rStyle w:val="FootnoteReference"/>
          <w:rFonts w:ascii="Palatino Linotype" w:hAnsi="Palatino Linotype"/>
          <w:sz w:val="24"/>
          <w:szCs w:val="24"/>
        </w:rPr>
        <w:footnoteReference w:id="65"/>
      </w:r>
    </w:p>
    <w:p w14:paraId="6C45E732" w14:textId="77777777" w:rsidR="00296FBA" w:rsidRDefault="00296FBA" w:rsidP="00296FBA">
      <w:pPr>
        <w:ind w:firstLine="720"/>
        <w:rPr>
          <w:rFonts w:ascii="Palatino Linotype" w:hAnsi="Palatino Linotype"/>
          <w:sz w:val="24"/>
          <w:szCs w:val="24"/>
        </w:rPr>
      </w:pPr>
    </w:p>
    <w:p w14:paraId="04289B69" w14:textId="3BF32E28" w:rsidR="002F06DD" w:rsidRPr="002F06DD" w:rsidRDefault="002F06DD" w:rsidP="00296FBA">
      <w:pPr>
        <w:ind w:firstLine="720"/>
        <w:rPr>
          <w:rFonts w:ascii="Palatino Linotype" w:hAnsi="Palatino Linotype"/>
          <w:sz w:val="24"/>
          <w:szCs w:val="24"/>
        </w:rPr>
      </w:pPr>
      <w:r w:rsidRPr="002F06DD">
        <w:rPr>
          <w:rFonts w:ascii="Palatino Linotype" w:hAnsi="Palatino Linotype"/>
          <w:sz w:val="24"/>
          <w:szCs w:val="24"/>
        </w:rPr>
        <w:t>Not always fraud, QRPs are “certain techniques for collecting, analyzing, and sharing data that can generate or lead credence to false-positive findings, and there is a direct connection between this issue and the question of which studies enjoy mainstream attention.”</w:t>
      </w:r>
      <w:r w:rsidR="00296FBA">
        <w:rPr>
          <w:rStyle w:val="FootnoteReference"/>
          <w:rFonts w:ascii="Palatino Linotype" w:hAnsi="Palatino Linotype"/>
          <w:sz w:val="24"/>
          <w:szCs w:val="24"/>
        </w:rPr>
        <w:footnoteReference w:id="66"/>
      </w:r>
      <w:r w:rsidRPr="002F06DD">
        <w:rPr>
          <w:rFonts w:ascii="Palatino Linotype" w:hAnsi="Palatino Linotype"/>
          <w:sz w:val="24"/>
          <w:szCs w:val="24"/>
        </w:rPr>
        <w:t xml:space="preserve"> They are “the steroids of scientific competition, artificially enhancing performance and producing a kind of arms race in which researchers who strictly play by the rules are at a competitive disadvantage. QRPs, by nature of the very fact that they are often questionable as opposed to blatantly improper, also offer considerable latitude for rationalization and self-deception.”</w:t>
      </w:r>
      <w:r w:rsidR="00296FBA">
        <w:rPr>
          <w:rStyle w:val="FootnoteReference"/>
          <w:rFonts w:ascii="Palatino Linotype" w:hAnsi="Palatino Linotype"/>
          <w:sz w:val="24"/>
          <w:szCs w:val="24"/>
        </w:rPr>
        <w:footnoteReference w:id="67"/>
      </w:r>
      <w:r w:rsidRPr="002F06DD">
        <w:rPr>
          <w:rFonts w:ascii="Palatino Linotype" w:hAnsi="Palatino Linotype"/>
          <w:sz w:val="24"/>
          <w:szCs w:val="24"/>
        </w:rPr>
        <w:t>Another type of fraud is “adding a high-profile scientist as a co-author without their knowledge or consent” which can give the illusion of credibility.</w:t>
      </w:r>
      <w:r w:rsidR="00296FBA">
        <w:rPr>
          <w:rStyle w:val="FootnoteReference"/>
          <w:rFonts w:ascii="Palatino Linotype" w:hAnsi="Palatino Linotype"/>
          <w:sz w:val="24"/>
          <w:szCs w:val="24"/>
        </w:rPr>
        <w:footnoteReference w:id="68"/>
      </w:r>
    </w:p>
    <w:p w14:paraId="0FC53121" w14:textId="77777777" w:rsidR="002F06DD" w:rsidRPr="002F06DD" w:rsidRDefault="002F06DD" w:rsidP="002F06DD">
      <w:pPr>
        <w:rPr>
          <w:rFonts w:ascii="Palatino Linotype" w:hAnsi="Palatino Linotype"/>
          <w:sz w:val="24"/>
          <w:szCs w:val="24"/>
        </w:rPr>
      </w:pPr>
    </w:p>
    <w:p w14:paraId="1AFA6787" w14:textId="143FC564" w:rsidR="002F06DD" w:rsidRPr="002F06DD" w:rsidRDefault="002F06DD" w:rsidP="002F06DD">
      <w:pPr>
        <w:rPr>
          <w:rFonts w:ascii="Palatino Linotype" w:hAnsi="Palatino Linotype"/>
          <w:b/>
          <w:bCs/>
          <w:sz w:val="24"/>
          <w:szCs w:val="24"/>
        </w:rPr>
      </w:pPr>
      <w:r w:rsidRPr="002F06DD">
        <w:rPr>
          <w:rFonts w:ascii="Palatino Linotype" w:hAnsi="Palatino Linotype"/>
          <w:b/>
          <w:bCs/>
          <w:sz w:val="24"/>
          <w:szCs w:val="24"/>
        </w:rPr>
        <w:t>Bias</w:t>
      </w:r>
      <w:r w:rsidR="00296FBA">
        <w:rPr>
          <w:rStyle w:val="FootnoteReference"/>
          <w:rFonts w:ascii="Palatino Linotype" w:hAnsi="Palatino Linotype"/>
          <w:b/>
          <w:bCs/>
          <w:sz w:val="24"/>
          <w:szCs w:val="24"/>
        </w:rPr>
        <w:footnoteReference w:id="69"/>
      </w:r>
    </w:p>
    <w:p w14:paraId="7519E200" w14:textId="20D36019" w:rsidR="00F83EE2" w:rsidRDefault="002F06DD" w:rsidP="00EC769C">
      <w:pPr>
        <w:ind w:firstLine="720"/>
        <w:rPr>
          <w:rFonts w:ascii="Palatino Linotype" w:hAnsi="Palatino Linotype"/>
          <w:sz w:val="24"/>
          <w:szCs w:val="24"/>
        </w:rPr>
      </w:pPr>
      <w:r w:rsidRPr="002F06DD">
        <w:rPr>
          <w:rFonts w:ascii="Palatino Linotype" w:hAnsi="Palatino Linotype"/>
          <w:i/>
          <w:sz w:val="24"/>
          <w:szCs w:val="24"/>
        </w:rPr>
        <w:t xml:space="preserve">Bias </w:t>
      </w:r>
      <w:r w:rsidRPr="002F06DD">
        <w:rPr>
          <w:rFonts w:ascii="Palatino Linotype" w:hAnsi="Palatino Linotype"/>
          <w:sz w:val="24"/>
          <w:szCs w:val="24"/>
        </w:rPr>
        <w:t xml:space="preserve">is “any process at any stage of inference which tends to produce results or </w:t>
      </w:r>
      <w:r w:rsidRPr="002F06DD">
        <w:rPr>
          <w:rFonts w:ascii="Palatino Linotype" w:hAnsi="Palatino Linotype"/>
          <w:sz w:val="24"/>
          <w:szCs w:val="24"/>
        </w:rPr>
        <w:lastRenderedPageBreak/>
        <w:t>conclusions</w:t>
      </w:r>
      <w:r w:rsidR="00F83EE2">
        <w:rPr>
          <w:rFonts w:ascii="Palatino Linotype" w:hAnsi="Palatino Linotype"/>
          <w:sz w:val="24"/>
          <w:szCs w:val="24"/>
        </w:rPr>
        <w:t xml:space="preserve"> </w:t>
      </w:r>
      <w:r w:rsidR="00F83EE2" w:rsidRPr="00F83EE2">
        <w:rPr>
          <w:rFonts w:ascii="Palatino Linotype" w:hAnsi="Palatino Linotype"/>
          <w:sz w:val="24"/>
          <w:szCs w:val="24"/>
        </w:rPr>
        <w:t>that differ systematically from the truth.”</w:t>
      </w:r>
      <w:r w:rsidR="00EC769C">
        <w:rPr>
          <w:rStyle w:val="FootnoteReference"/>
          <w:rFonts w:ascii="Palatino Linotype" w:hAnsi="Palatino Linotype"/>
          <w:sz w:val="24"/>
          <w:szCs w:val="24"/>
        </w:rPr>
        <w:footnoteReference w:id="70"/>
      </w:r>
      <w:r w:rsidR="00F83EE2" w:rsidRPr="00F83EE2">
        <w:rPr>
          <w:rFonts w:ascii="Palatino Linotype" w:hAnsi="Palatino Linotype"/>
          <w:sz w:val="24"/>
          <w:szCs w:val="24"/>
        </w:rPr>
        <w:t xml:space="preserve"> The Hypothetico-Deductive Model of the Scientific Method (Figure 1)</w:t>
      </w:r>
      <w:r w:rsidR="00EC769C">
        <w:rPr>
          <w:rStyle w:val="FootnoteReference"/>
          <w:rFonts w:ascii="Palatino Linotype" w:hAnsi="Palatino Linotype"/>
          <w:sz w:val="24"/>
          <w:szCs w:val="24"/>
        </w:rPr>
        <w:footnoteReference w:id="71"/>
      </w:r>
      <w:r w:rsidR="00F83EE2" w:rsidRPr="00F83EE2">
        <w:rPr>
          <w:rFonts w:ascii="Palatino Linotype" w:hAnsi="Palatino Linotype"/>
          <w:sz w:val="24"/>
          <w:szCs w:val="24"/>
        </w:rPr>
        <w:t xml:space="preserve"> delineates potential biases and QRPs in the process of research.</w:t>
      </w:r>
      <w:r w:rsidR="00EC769C">
        <w:rPr>
          <w:rStyle w:val="FootnoteReference"/>
          <w:rFonts w:ascii="Palatino Linotype" w:hAnsi="Palatino Linotype"/>
          <w:sz w:val="24"/>
          <w:szCs w:val="24"/>
        </w:rPr>
        <w:footnoteReference w:id="72"/>
      </w:r>
      <w:r w:rsidR="00F83EE2" w:rsidRPr="00F83EE2">
        <w:rPr>
          <w:rFonts w:ascii="Palatino Linotype" w:hAnsi="Palatino Linotype"/>
          <w:sz w:val="24"/>
          <w:szCs w:val="24"/>
        </w:rPr>
        <w:t xml:space="preserve"> Inherent in each of these is confirmation bias, “the tendency to gather evidence that confirms preexisting expectations, typically by emphasizing or pursuing supporting evidence while dismissing or failing to seek contradictory evidence.”</w:t>
      </w:r>
      <w:r w:rsidR="00EC769C">
        <w:rPr>
          <w:rStyle w:val="FootnoteReference"/>
          <w:rFonts w:ascii="Palatino Linotype" w:hAnsi="Palatino Linotype"/>
          <w:sz w:val="24"/>
          <w:szCs w:val="24"/>
        </w:rPr>
        <w:footnoteReference w:id="73"/>
      </w:r>
    </w:p>
    <w:p w14:paraId="6F65CE0E" w14:textId="77777777" w:rsidR="00230295" w:rsidRDefault="00230295" w:rsidP="00EC769C">
      <w:pPr>
        <w:ind w:firstLine="720"/>
        <w:rPr>
          <w:rFonts w:ascii="Palatino Linotype" w:hAnsi="Palatino Linotype"/>
          <w:sz w:val="24"/>
          <w:szCs w:val="24"/>
        </w:rPr>
      </w:pPr>
    </w:p>
    <w:p w14:paraId="0716F8C8" w14:textId="1752D66B" w:rsidR="00F83EE2" w:rsidRPr="002F06DD" w:rsidRDefault="00F83EE2" w:rsidP="002F06DD">
      <w:pPr>
        <w:rPr>
          <w:rFonts w:ascii="Palatino Linotype" w:hAnsi="Palatino Linotype"/>
          <w:sz w:val="24"/>
          <w:szCs w:val="24"/>
        </w:rPr>
      </w:pPr>
      <w:r>
        <w:rPr>
          <w:rFonts w:ascii="Times New Roman"/>
          <w:noProof/>
          <w:sz w:val="20"/>
        </w:rPr>
        <w:drawing>
          <wp:inline distT="0" distB="0" distL="0" distR="0" wp14:anchorId="5FF87E77" wp14:editId="71A15B7B">
            <wp:extent cx="6374859" cy="3456432"/>
            <wp:effectExtent l="0" t="0" r="635" b="0"/>
            <wp:docPr id="65" name="Image 65" descr="A diagram of a diagram&#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A diagram of a diagram&#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74859" cy="3456432"/>
                    </a:xfrm>
                    <a:prstGeom prst="rect">
                      <a:avLst/>
                    </a:prstGeom>
                  </pic:spPr>
                </pic:pic>
              </a:graphicData>
            </a:graphic>
          </wp:inline>
        </w:drawing>
      </w:r>
    </w:p>
    <w:p w14:paraId="0DE6CF4D" w14:textId="77777777" w:rsidR="002F06DD" w:rsidRDefault="002F06DD" w:rsidP="002F06DD">
      <w:pPr>
        <w:rPr>
          <w:rFonts w:ascii="Palatino Linotype" w:hAnsi="Palatino Linotype"/>
          <w:sz w:val="24"/>
          <w:szCs w:val="24"/>
        </w:rPr>
      </w:pPr>
    </w:p>
    <w:p w14:paraId="34245371" w14:textId="77777777" w:rsidR="00F83EE2" w:rsidRPr="00F83EE2" w:rsidRDefault="00F83EE2" w:rsidP="00F83EE2">
      <w:pPr>
        <w:rPr>
          <w:rFonts w:ascii="Palatino Linotype" w:hAnsi="Palatino Linotype"/>
          <w:sz w:val="24"/>
          <w:szCs w:val="24"/>
        </w:rPr>
      </w:pPr>
      <w:r w:rsidRPr="00F83EE2">
        <w:rPr>
          <w:rFonts w:ascii="Palatino Linotype" w:hAnsi="Palatino Linotype"/>
          <w:b/>
          <w:sz w:val="24"/>
          <w:szCs w:val="24"/>
        </w:rPr>
        <w:t xml:space="preserve">Figure 1. </w:t>
      </w:r>
      <w:r w:rsidRPr="00F83EE2">
        <w:rPr>
          <w:rFonts w:ascii="Palatino Linotype" w:hAnsi="Palatino Linotype"/>
          <w:i/>
          <w:sz w:val="24"/>
          <w:szCs w:val="24"/>
        </w:rPr>
        <w:t xml:space="preserve">The Hypothetico-Deductive Model of the Scientific Method </w:t>
      </w:r>
      <w:r w:rsidRPr="00F83EE2">
        <w:rPr>
          <w:rFonts w:ascii="Palatino Linotype" w:hAnsi="Palatino Linotype"/>
          <w:sz w:val="24"/>
          <w:szCs w:val="24"/>
        </w:rPr>
        <w:t>is short-circuited by a range of questionable research practices (red) and their prevalence in psychology.</w:t>
      </w:r>
    </w:p>
    <w:p w14:paraId="70A1EA6B" w14:textId="77777777" w:rsidR="00F83EE2" w:rsidRPr="00F83EE2" w:rsidRDefault="00F83EE2" w:rsidP="00F83EE2">
      <w:pPr>
        <w:rPr>
          <w:rFonts w:ascii="Palatino Linotype" w:hAnsi="Palatino Linotype"/>
          <w:sz w:val="24"/>
          <w:szCs w:val="24"/>
        </w:rPr>
      </w:pPr>
    </w:p>
    <w:p w14:paraId="0EAAF8F2" w14:textId="77777777" w:rsidR="00F83EE2" w:rsidRPr="00F83EE2" w:rsidRDefault="00F83EE2" w:rsidP="00F83EE2">
      <w:pPr>
        <w:rPr>
          <w:rFonts w:ascii="Palatino Linotype" w:hAnsi="Palatino Linotype"/>
          <w:b/>
          <w:bCs/>
          <w:sz w:val="24"/>
          <w:szCs w:val="24"/>
        </w:rPr>
      </w:pPr>
      <w:r w:rsidRPr="00F83EE2">
        <w:rPr>
          <w:rFonts w:ascii="Palatino Linotype" w:hAnsi="Palatino Linotype"/>
          <w:b/>
          <w:bCs/>
          <w:sz w:val="24"/>
          <w:szCs w:val="24"/>
        </w:rPr>
        <w:t>Lack of Replication</w:t>
      </w:r>
    </w:p>
    <w:p w14:paraId="3A2259B3" w14:textId="5719F18B" w:rsidR="00F83EE2" w:rsidRPr="00F83EE2" w:rsidRDefault="00F83EE2" w:rsidP="00635562">
      <w:pPr>
        <w:ind w:firstLine="720"/>
        <w:rPr>
          <w:rFonts w:ascii="Palatino Linotype" w:hAnsi="Palatino Linotype"/>
          <w:sz w:val="24"/>
          <w:szCs w:val="24"/>
        </w:rPr>
      </w:pPr>
      <w:r w:rsidRPr="00F83EE2">
        <w:rPr>
          <w:rFonts w:ascii="Palatino Linotype" w:hAnsi="Palatino Linotype"/>
          <w:sz w:val="24"/>
          <w:szCs w:val="24"/>
        </w:rPr>
        <w:t xml:space="preserve">In statistics, </w:t>
      </w:r>
      <w:r w:rsidRPr="00F83EE2">
        <w:rPr>
          <w:rFonts w:ascii="Palatino Linotype" w:hAnsi="Palatino Linotype"/>
          <w:i/>
          <w:sz w:val="24"/>
          <w:szCs w:val="24"/>
        </w:rPr>
        <w:t xml:space="preserve">replication </w:t>
      </w:r>
      <w:r w:rsidRPr="00F83EE2">
        <w:rPr>
          <w:rFonts w:ascii="Palatino Linotype" w:hAnsi="Palatino Linotype"/>
          <w:sz w:val="24"/>
          <w:szCs w:val="24"/>
        </w:rPr>
        <w:t>is “repetition of an experiment or observation in the same or similar conditions.”</w:t>
      </w:r>
      <w:r w:rsidR="00230295">
        <w:rPr>
          <w:rStyle w:val="FootnoteReference"/>
          <w:rFonts w:ascii="Palatino Linotype" w:hAnsi="Palatino Linotype"/>
          <w:sz w:val="24"/>
          <w:szCs w:val="24"/>
        </w:rPr>
        <w:footnoteReference w:id="74"/>
      </w:r>
      <w:r w:rsidRPr="00F83EE2">
        <w:rPr>
          <w:rFonts w:ascii="Palatino Linotype" w:hAnsi="Palatino Linotype"/>
          <w:sz w:val="24"/>
          <w:szCs w:val="24"/>
        </w:rPr>
        <w:t xml:space="preserve"> </w:t>
      </w:r>
      <w:r w:rsidRPr="00F83EE2">
        <w:rPr>
          <w:rFonts w:ascii="Palatino Linotype" w:hAnsi="Palatino Linotype"/>
          <w:i/>
          <w:sz w:val="24"/>
          <w:szCs w:val="24"/>
        </w:rPr>
        <w:t xml:space="preserve">Lack of replication </w:t>
      </w:r>
      <w:r w:rsidRPr="00F83EE2">
        <w:rPr>
          <w:rFonts w:ascii="Palatino Linotype" w:hAnsi="Palatino Linotype"/>
          <w:sz w:val="24"/>
          <w:szCs w:val="24"/>
        </w:rPr>
        <w:t xml:space="preserve">“impedes the elimination of false discoveries </w:t>
      </w:r>
      <w:r w:rsidRPr="00F83EE2">
        <w:rPr>
          <w:rFonts w:ascii="Palatino Linotype" w:hAnsi="Palatino Linotype"/>
          <w:sz w:val="24"/>
          <w:szCs w:val="24"/>
        </w:rPr>
        <w:lastRenderedPageBreak/>
        <w:t>and weakens the</w:t>
      </w:r>
      <w:r w:rsidR="00635562">
        <w:rPr>
          <w:rFonts w:ascii="Palatino Linotype" w:hAnsi="Palatino Linotype"/>
          <w:sz w:val="24"/>
          <w:szCs w:val="24"/>
        </w:rPr>
        <w:t xml:space="preserve"> </w:t>
      </w:r>
      <w:r w:rsidRPr="00F83EE2">
        <w:rPr>
          <w:rFonts w:ascii="Palatino Linotype" w:hAnsi="Palatino Linotype"/>
          <w:sz w:val="24"/>
          <w:szCs w:val="24"/>
        </w:rPr>
        <w:t>evidence base underpinning theory.”</w:t>
      </w:r>
      <w:r w:rsidR="002555B2">
        <w:rPr>
          <w:rStyle w:val="FootnoteReference"/>
          <w:rFonts w:ascii="Palatino Linotype" w:hAnsi="Palatino Linotype"/>
          <w:sz w:val="24"/>
          <w:szCs w:val="24"/>
        </w:rPr>
        <w:footnoteReference w:id="75"/>
      </w:r>
      <w:r w:rsidRPr="00F83EE2">
        <w:rPr>
          <w:rFonts w:ascii="Palatino Linotype" w:hAnsi="Palatino Linotype"/>
          <w:sz w:val="24"/>
          <w:szCs w:val="24"/>
        </w:rPr>
        <w:t xml:space="preserve"> The first systematic investigation of replication rates in psychology suggested an overall replication rate of only 1.07 percent.</w:t>
      </w:r>
      <w:r w:rsidR="002555B2">
        <w:rPr>
          <w:rStyle w:val="FootnoteReference"/>
          <w:rFonts w:ascii="Palatino Linotype" w:hAnsi="Palatino Linotype"/>
          <w:sz w:val="24"/>
          <w:szCs w:val="24"/>
        </w:rPr>
        <w:footnoteReference w:id="76"/>
      </w:r>
      <w:r w:rsidRPr="00F83EE2">
        <w:rPr>
          <w:rFonts w:ascii="Palatino Linotype" w:hAnsi="Palatino Linotype"/>
          <w:sz w:val="24"/>
          <w:szCs w:val="24"/>
        </w:rPr>
        <w:t xml:space="preserve"> Another research group conducted replications of 100 experimental and correlational studies published in three major psychology journals. While 97 percent of original studies had statistically significant results, only 36 percent of replications had statistically significant results.</w:t>
      </w:r>
      <w:r w:rsidR="00AE2388">
        <w:rPr>
          <w:rStyle w:val="FootnoteReference"/>
          <w:rFonts w:ascii="Palatino Linotype" w:hAnsi="Palatino Linotype"/>
          <w:sz w:val="24"/>
          <w:szCs w:val="24"/>
        </w:rPr>
        <w:footnoteReference w:id="77"/>
      </w:r>
      <w:r w:rsidRPr="00F83EE2">
        <w:rPr>
          <w:rFonts w:ascii="Palatino Linotype" w:hAnsi="Palatino Linotype"/>
          <w:sz w:val="24"/>
          <w:szCs w:val="24"/>
        </w:rPr>
        <w:t xml:space="preserve"> To complicate the problem, a recent study found that non-replicable data is cited 153 times more, and only 12 percent of post-replication citations of nonreplicable findings acknowledge the replication failure.</w:t>
      </w:r>
      <w:r w:rsidR="00AE2388">
        <w:rPr>
          <w:rStyle w:val="FootnoteReference"/>
          <w:rFonts w:ascii="Palatino Linotype" w:hAnsi="Palatino Linotype"/>
          <w:sz w:val="24"/>
          <w:szCs w:val="24"/>
        </w:rPr>
        <w:footnoteReference w:id="78"/>
      </w:r>
    </w:p>
    <w:p w14:paraId="52D7ECA9" w14:textId="77777777" w:rsidR="00F83EE2" w:rsidRPr="00F83EE2" w:rsidRDefault="00F83EE2" w:rsidP="00F83EE2">
      <w:pPr>
        <w:rPr>
          <w:rFonts w:ascii="Palatino Linotype" w:hAnsi="Palatino Linotype"/>
          <w:sz w:val="24"/>
          <w:szCs w:val="24"/>
        </w:rPr>
      </w:pPr>
    </w:p>
    <w:p w14:paraId="409EF7EB" w14:textId="77777777" w:rsidR="00F83EE2" w:rsidRPr="00F83EE2" w:rsidRDefault="00F83EE2" w:rsidP="00F83EE2">
      <w:pPr>
        <w:rPr>
          <w:rFonts w:ascii="Palatino Linotype" w:hAnsi="Palatino Linotype"/>
          <w:b/>
          <w:bCs/>
          <w:sz w:val="24"/>
          <w:szCs w:val="24"/>
        </w:rPr>
      </w:pPr>
      <w:r w:rsidRPr="00F83EE2">
        <w:rPr>
          <w:rFonts w:ascii="Palatino Linotype" w:hAnsi="Palatino Linotype"/>
          <w:b/>
          <w:bCs/>
          <w:sz w:val="24"/>
          <w:szCs w:val="24"/>
        </w:rPr>
        <w:t>Sample Bias</w:t>
      </w:r>
    </w:p>
    <w:p w14:paraId="2D99DB1F" w14:textId="5465AE06" w:rsidR="00F83EE2" w:rsidRPr="00F83EE2" w:rsidRDefault="00F83EE2" w:rsidP="00635562">
      <w:pPr>
        <w:ind w:firstLine="720"/>
        <w:rPr>
          <w:rFonts w:ascii="Palatino Linotype" w:hAnsi="Palatino Linotype"/>
          <w:sz w:val="24"/>
          <w:szCs w:val="24"/>
        </w:rPr>
      </w:pPr>
      <w:r w:rsidRPr="00F83EE2">
        <w:rPr>
          <w:rFonts w:ascii="Palatino Linotype" w:hAnsi="Palatino Linotype"/>
          <w:sz w:val="24"/>
          <w:szCs w:val="24"/>
        </w:rPr>
        <w:t>Although not mentioned in the H-D model, sample bias is an issue. One author revealed that for the last fifty years, the subjects of most psychology studies in the U.S. have been undergraduate students taking a psychology course.</w:t>
      </w:r>
      <w:r w:rsidR="00AE2388">
        <w:rPr>
          <w:rStyle w:val="FootnoteReference"/>
          <w:rFonts w:ascii="Palatino Linotype" w:hAnsi="Palatino Linotype"/>
          <w:sz w:val="24"/>
          <w:szCs w:val="24"/>
        </w:rPr>
        <w:footnoteReference w:id="79"/>
      </w:r>
      <w:r w:rsidRPr="00F83EE2">
        <w:rPr>
          <w:rFonts w:ascii="Palatino Linotype" w:hAnsi="Palatino Linotype"/>
          <w:sz w:val="24"/>
          <w:szCs w:val="24"/>
        </w:rPr>
        <w:t xml:space="preserve"> Similarly, it is routine for behavioral scientists to publish broad claims about human psychology and behavior based on samples from Western, Educated, Industrialized, Rich, and Democratic (WEIRD) societies.</w:t>
      </w:r>
      <w:r w:rsidR="00AE2388">
        <w:rPr>
          <w:rStyle w:val="FootnoteReference"/>
          <w:rFonts w:ascii="Palatino Linotype" w:hAnsi="Palatino Linotype"/>
          <w:sz w:val="24"/>
          <w:szCs w:val="24"/>
        </w:rPr>
        <w:footnoteReference w:id="80"/>
      </w:r>
      <w:r w:rsidRPr="00F83EE2">
        <w:rPr>
          <w:rFonts w:ascii="Palatino Linotype" w:hAnsi="Palatino Linotype"/>
          <w:sz w:val="24"/>
          <w:szCs w:val="24"/>
        </w:rPr>
        <w:t xml:space="preserve"> Both readings indicate overgeneralization and lack of external validity.</w:t>
      </w:r>
    </w:p>
    <w:p w14:paraId="02780B8F" w14:textId="77777777" w:rsidR="00F83EE2" w:rsidRPr="00F83EE2" w:rsidRDefault="00F83EE2" w:rsidP="00F83EE2">
      <w:pPr>
        <w:rPr>
          <w:rFonts w:ascii="Palatino Linotype" w:hAnsi="Palatino Linotype"/>
          <w:sz w:val="24"/>
          <w:szCs w:val="24"/>
        </w:rPr>
      </w:pPr>
    </w:p>
    <w:p w14:paraId="52601183" w14:textId="77777777" w:rsidR="00F83EE2" w:rsidRPr="00F83EE2" w:rsidRDefault="00F83EE2" w:rsidP="00F83EE2">
      <w:pPr>
        <w:rPr>
          <w:rFonts w:ascii="Palatino Linotype" w:hAnsi="Palatino Linotype"/>
          <w:b/>
          <w:bCs/>
          <w:sz w:val="24"/>
          <w:szCs w:val="24"/>
        </w:rPr>
      </w:pPr>
      <w:r w:rsidRPr="00F83EE2">
        <w:rPr>
          <w:rFonts w:ascii="Palatino Linotype" w:hAnsi="Palatino Linotype"/>
          <w:b/>
          <w:bCs/>
          <w:sz w:val="24"/>
          <w:szCs w:val="24"/>
        </w:rPr>
        <w:t>Low Statistical Power</w:t>
      </w:r>
    </w:p>
    <w:p w14:paraId="15022CD3" w14:textId="30D7C169" w:rsidR="00965A86" w:rsidRPr="00965A86" w:rsidRDefault="00F83EE2" w:rsidP="002555B2">
      <w:pPr>
        <w:ind w:firstLine="720"/>
        <w:rPr>
          <w:rFonts w:ascii="Palatino Linotype" w:hAnsi="Palatino Linotype"/>
          <w:sz w:val="24"/>
          <w:szCs w:val="24"/>
        </w:rPr>
      </w:pPr>
      <w:r w:rsidRPr="00F83EE2">
        <w:rPr>
          <w:rFonts w:ascii="Palatino Linotype" w:hAnsi="Palatino Linotype"/>
          <w:i/>
          <w:sz w:val="24"/>
          <w:szCs w:val="24"/>
        </w:rPr>
        <w:t xml:space="preserve">Statistical power </w:t>
      </w:r>
      <w:r w:rsidRPr="00F83EE2">
        <w:rPr>
          <w:rFonts w:ascii="Palatino Linotype" w:hAnsi="Palatino Linotype"/>
          <w:sz w:val="24"/>
          <w:szCs w:val="24"/>
        </w:rPr>
        <w:t>of a hypothesis test is “the probability that a test of significance will pick up on an effect that is present”</w:t>
      </w:r>
      <w:r w:rsidR="00AE2388">
        <w:rPr>
          <w:rStyle w:val="FootnoteReference"/>
          <w:rFonts w:ascii="Palatino Linotype" w:hAnsi="Palatino Linotype"/>
          <w:sz w:val="24"/>
          <w:szCs w:val="24"/>
        </w:rPr>
        <w:footnoteReference w:id="81"/>
      </w:r>
      <w:r w:rsidRPr="00F83EE2">
        <w:rPr>
          <w:rFonts w:ascii="Palatino Linotype" w:hAnsi="Palatino Linotype"/>
          <w:sz w:val="24"/>
          <w:szCs w:val="24"/>
        </w:rPr>
        <w:t xml:space="preserve"> and low statistical power “increases the </w:t>
      </w:r>
      <w:r w:rsidRPr="00F83EE2">
        <w:rPr>
          <w:rFonts w:ascii="Palatino Linotype" w:hAnsi="Palatino Linotype"/>
          <w:sz w:val="24"/>
          <w:szCs w:val="24"/>
        </w:rPr>
        <w:lastRenderedPageBreak/>
        <w:t>chances of missing true discoveries and reduces the likelihood that obtained positive effects are real.”</w:t>
      </w:r>
      <w:r w:rsidR="00FD0081">
        <w:rPr>
          <w:rStyle w:val="FootnoteReference"/>
          <w:rFonts w:ascii="Palatino Linotype" w:hAnsi="Palatino Linotype"/>
          <w:sz w:val="24"/>
          <w:szCs w:val="24"/>
        </w:rPr>
        <w:footnoteReference w:id="82"/>
      </w:r>
      <w:r w:rsidRPr="00F83EE2">
        <w:rPr>
          <w:rFonts w:ascii="Palatino Linotype" w:hAnsi="Palatino Linotype"/>
          <w:sz w:val="24"/>
          <w:szCs w:val="24"/>
        </w:rPr>
        <w:t xml:space="preserve"> Statistical power ranges from 0 to 1; desired statistical power is around 0.80. John Cohen, the pioneering</w:t>
      </w:r>
      <w:r w:rsidR="002555B2">
        <w:rPr>
          <w:rFonts w:ascii="Palatino Linotype" w:hAnsi="Palatino Linotype"/>
          <w:sz w:val="24"/>
          <w:szCs w:val="24"/>
        </w:rPr>
        <w:t xml:space="preserve"> </w:t>
      </w:r>
      <w:r w:rsidR="00965A86" w:rsidRPr="00965A86">
        <w:rPr>
          <w:rFonts w:ascii="Palatino Linotype" w:hAnsi="Palatino Linotype"/>
          <w:sz w:val="24"/>
          <w:szCs w:val="24"/>
        </w:rPr>
        <w:t>author on statistical power, reviewed articles in the 1960 issue of a prominent psychology journal, finding a median power of 0.46.</w:t>
      </w:r>
      <w:r w:rsidR="00FD0081">
        <w:rPr>
          <w:rStyle w:val="FootnoteReference"/>
          <w:rFonts w:ascii="Palatino Linotype" w:hAnsi="Palatino Linotype"/>
          <w:sz w:val="24"/>
          <w:szCs w:val="24"/>
        </w:rPr>
        <w:footnoteReference w:id="83"/>
      </w:r>
      <w:r w:rsidR="00965A86" w:rsidRPr="00965A86">
        <w:rPr>
          <w:rFonts w:ascii="Palatino Linotype" w:hAnsi="Palatino Linotype"/>
          <w:sz w:val="24"/>
          <w:szCs w:val="24"/>
        </w:rPr>
        <w:t xml:space="preserve"> A review of the same journal 20 years later found a median power of 0.37.</w:t>
      </w:r>
      <w:r w:rsidR="00FD0081">
        <w:rPr>
          <w:rStyle w:val="FootnoteReference"/>
          <w:rFonts w:ascii="Palatino Linotype" w:hAnsi="Palatino Linotype"/>
          <w:sz w:val="24"/>
          <w:szCs w:val="24"/>
        </w:rPr>
        <w:footnoteReference w:id="84"/>
      </w:r>
      <w:r w:rsidR="00965A86" w:rsidRPr="00965A86">
        <w:rPr>
          <w:rFonts w:ascii="Palatino Linotype" w:hAnsi="Palatino Linotype"/>
          <w:sz w:val="24"/>
          <w:szCs w:val="24"/>
        </w:rPr>
        <w:t xml:space="preserve"> In clinical neuropsychology, a statistical power analysis found overall power to detect medium effect size at 0.50.</w:t>
      </w:r>
      <w:r w:rsidR="00FD0081">
        <w:rPr>
          <w:rStyle w:val="FootnoteReference"/>
          <w:rFonts w:ascii="Palatino Linotype" w:hAnsi="Palatino Linotype"/>
          <w:sz w:val="24"/>
          <w:szCs w:val="24"/>
        </w:rPr>
        <w:footnoteReference w:id="85"/>
      </w:r>
    </w:p>
    <w:p w14:paraId="0F7E6A4E" w14:textId="77777777" w:rsidR="00965A86" w:rsidRPr="00965A86" w:rsidRDefault="00965A86" w:rsidP="00965A86">
      <w:pPr>
        <w:rPr>
          <w:rFonts w:ascii="Palatino Linotype" w:hAnsi="Palatino Linotype"/>
          <w:sz w:val="24"/>
          <w:szCs w:val="24"/>
        </w:rPr>
      </w:pPr>
    </w:p>
    <w:p w14:paraId="7FC0E908" w14:textId="77777777" w:rsidR="00965A86" w:rsidRPr="00965A86" w:rsidRDefault="00965A86" w:rsidP="00965A86">
      <w:pPr>
        <w:rPr>
          <w:rFonts w:ascii="Palatino Linotype" w:hAnsi="Palatino Linotype"/>
          <w:b/>
          <w:bCs/>
          <w:sz w:val="24"/>
          <w:szCs w:val="24"/>
        </w:rPr>
      </w:pPr>
      <w:r w:rsidRPr="00965A86">
        <w:rPr>
          <w:rFonts w:ascii="Palatino Linotype" w:hAnsi="Palatino Linotype"/>
          <w:b/>
          <w:bCs/>
          <w:i/>
          <w:sz w:val="24"/>
          <w:szCs w:val="24"/>
        </w:rPr>
        <w:t>p</w:t>
      </w:r>
      <w:r w:rsidRPr="00965A86">
        <w:rPr>
          <w:rFonts w:ascii="Palatino Linotype" w:hAnsi="Palatino Linotype"/>
          <w:b/>
          <w:bCs/>
          <w:sz w:val="24"/>
          <w:szCs w:val="24"/>
        </w:rPr>
        <w:t>-hacking</w:t>
      </w:r>
    </w:p>
    <w:p w14:paraId="26B8C8AD" w14:textId="0DACF7BD" w:rsidR="00965A86" w:rsidRPr="00965A86" w:rsidRDefault="00965A86" w:rsidP="002555B2">
      <w:pPr>
        <w:ind w:firstLine="720"/>
        <w:rPr>
          <w:rFonts w:ascii="Palatino Linotype" w:hAnsi="Palatino Linotype"/>
          <w:sz w:val="24"/>
          <w:szCs w:val="24"/>
        </w:rPr>
      </w:pPr>
      <w:r w:rsidRPr="00965A86">
        <w:rPr>
          <w:rFonts w:ascii="Palatino Linotype" w:hAnsi="Palatino Linotype"/>
          <w:sz w:val="24"/>
          <w:szCs w:val="24"/>
        </w:rPr>
        <w:t xml:space="preserve">Essential to understanding </w:t>
      </w:r>
      <w:r w:rsidRPr="00965A86">
        <w:rPr>
          <w:rFonts w:ascii="Palatino Linotype" w:hAnsi="Palatino Linotype"/>
          <w:i/>
          <w:sz w:val="24"/>
          <w:szCs w:val="24"/>
        </w:rPr>
        <w:t>p-</w:t>
      </w:r>
      <w:r w:rsidRPr="00965A86">
        <w:rPr>
          <w:rFonts w:ascii="Palatino Linotype" w:hAnsi="Palatino Linotype"/>
          <w:sz w:val="24"/>
          <w:szCs w:val="24"/>
        </w:rPr>
        <w:t xml:space="preserve">hacking is the </w:t>
      </w:r>
      <w:r w:rsidRPr="00965A86">
        <w:rPr>
          <w:rFonts w:ascii="Palatino Linotype" w:hAnsi="Palatino Linotype"/>
          <w:i/>
          <w:sz w:val="24"/>
          <w:szCs w:val="24"/>
        </w:rPr>
        <w:t>p-</w:t>
      </w:r>
      <w:r w:rsidRPr="00965A86">
        <w:rPr>
          <w:rFonts w:ascii="Palatino Linotype" w:hAnsi="Palatino Linotype"/>
          <w:sz w:val="24"/>
          <w:szCs w:val="24"/>
        </w:rPr>
        <w:t>value, “the probability under a specified statistical model that a statistical summary of the data (e.g., the sample mean difference between 2 compared groups) would be equal to or more extreme than its observed value.”</w:t>
      </w:r>
      <w:r w:rsidR="00FD0081">
        <w:rPr>
          <w:rStyle w:val="FootnoteReference"/>
          <w:rFonts w:ascii="Palatino Linotype" w:hAnsi="Palatino Linotype"/>
          <w:sz w:val="24"/>
          <w:szCs w:val="24"/>
        </w:rPr>
        <w:footnoteReference w:id="86"/>
      </w:r>
      <w:r w:rsidRPr="00965A86">
        <w:rPr>
          <w:rFonts w:ascii="Palatino Linotype" w:hAnsi="Palatino Linotype"/>
          <w:sz w:val="24"/>
          <w:szCs w:val="24"/>
        </w:rPr>
        <w:t xml:space="preserve">Crucial for getting a study published is a moderate </w:t>
      </w:r>
      <w:r w:rsidRPr="00965A86">
        <w:rPr>
          <w:rFonts w:ascii="Palatino Linotype" w:hAnsi="Palatino Linotype"/>
          <w:i/>
          <w:sz w:val="24"/>
          <w:szCs w:val="24"/>
        </w:rPr>
        <w:t>p</w:t>
      </w:r>
      <w:r w:rsidRPr="00965A86">
        <w:rPr>
          <w:rFonts w:ascii="Palatino Linotype" w:hAnsi="Palatino Linotype"/>
          <w:sz w:val="24"/>
          <w:szCs w:val="24"/>
        </w:rPr>
        <w:t>-value of &gt;0.05,</w:t>
      </w:r>
      <w:r w:rsidR="00FD0081">
        <w:rPr>
          <w:rStyle w:val="FootnoteReference"/>
          <w:rFonts w:ascii="Palatino Linotype" w:hAnsi="Palatino Linotype"/>
          <w:sz w:val="24"/>
          <w:szCs w:val="24"/>
        </w:rPr>
        <w:footnoteReference w:id="87"/>
      </w:r>
      <w:r w:rsidRPr="00965A86">
        <w:rPr>
          <w:rFonts w:ascii="Palatino Linotype" w:hAnsi="Palatino Linotype"/>
          <w:sz w:val="24"/>
          <w:szCs w:val="24"/>
        </w:rPr>
        <w:t xml:space="preserve"> a fairly arbitrary threshold that “remains through conformity, tradition, and inertia.”</w:t>
      </w:r>
      <w:r w:rsidR="00FD0081">
        <w:rPr>
          <w:rStyle w:val="FootnoteReference"/>
          <w:rFonts w:ascii="Palatino Linotype" w:hAnsi="Palatino Linotype"/>
          <w:sz w:val="24"/>
          <w:szCs w:val="24"/>
        </w:rPr>
        <w:footnoteReference w:id="88"/>
      </w:r>
      <w:r w:rsidRPr="00965A86">
        <w:rPr>
          <w:rFonts w:ascii="Palatino Linotype" w:hAnsi="Palatino Linotype"/>
          <w:sz w:val="24"/>
          <w:szCs w:val="24"/>
        </w:rPr>
        <w:t xml:space="preserve"> Unknown to the general public is: “It is now standard practice for researchers to analyze complex data in many different ways and report only the most interesting and statistically significant outcomes.… Any conclusions drawn from such tests well, at best, overestimate the size of any real effect. At worst they could be entirely false.”</w:t>
      </w:r>
      <w:r w:rsidR="006A40A3">
        <w:rPr>
          <w:rStyle w:val="FootnoteReference"/>
          <w:rFonts w:ascii="Palatino Linotype" w:hAnsi="Palatino Linotype"/>
          <w:sz w:val="24"/>
          <w:szCs w:val="24"/>
        </w:rPr>
        <w:footnoteReference w:id="89"/>
      </w:r>
    </w:p>
    <w:p w14:paraId="323B5B59" w14:textId="77777777" w:rsidR="002555B2" w:rsidRDefault="002555B2" w:rsidP="002555B2">
      <w:pPr>
        <w:ind w:firstLine="720"/>
        <w:rPr>
          <w:rFonts w:ascii="Palatino Linotype" w:hAnsi="Palatino Linotype"/>
          <w:i/>
          <w:sz w:val="24"/>
          <w:szCs w:val="24"/>
        </w:rPr>
      </w:pPr>
    </w:p>
    <w:p w14:paraId="19F75690" w14:textId="0B6CB85D" w:rsidR="00965A86" w:rsidRPr="00965A86" w:rsidRDefault="00965A86" w:rsidP="002555B2">
      <w:pPr>
        <w:ind w:firstLine="720"/>
        <w:rPr>
          <w:rFonts w:ascii="Palatino Linotype" w:hAnsi="Palatino Linotype"/>
          <w:sz w:val="24"/>
          <w:szCs w:val="24"/>
        </w:rPr>
      </w:pPr>
      <w:r w:rsidRPr="00965A86">
        <w:rPr>
          <w:rFonts w:ascii="Palatino Linotype" w:hAnsi="Palatino Linotype"/>
          <w:i/>
          <w:sz w:val="24"/>
          <w:szCs w:val="24"/>
        </w:rPr>
        <w:t>P</w:t>
      </w:r>
      <w:r w:rsidRPr="00965A86">
        <w:rPr>
          <w:rFonts w:ascii="Palatino Linotype" w:hAnsi="Palatino Linotype"/>
          <w:sz w:val="24"/>
          <w:szCs w:val="24"/>
        </w:rPr>
        <w:t xml:space="preserve">-hacking is “re-running analyses in marginally different ways, until chance eventually grants them a </w:t>
      </w:r>
      <w:r w:rsidRPr="00965A86">
        <w:rPr>
          <w:rFonts w:ascii="Palatino Linotype" w:hAnsi="Palatino Linotype"/>
          <w:i/>
          <w:sz w:val="24"/>
          <w:szCs w:val="24"/>
        </w:rPr>
        <w:t>p</w:t>
      </w:r>
      <w:r w:rsidRPr="00965A86">
        <w:rPr>
          <w:rFonts w:ascii="Palatino Linotype" w:hAnsi="Palatino Linotype"/>
          <w:sz w:val="24"/>
          <w:szCs w:val="24"/>
        </w:rPr>
        <w:t>-value below 0.05.”</w:t>
      </w:r>
      <w:r w:rsidR="006A40A3">
        <w:rPr>
          <w:rStyle w:val="FootnoteReference"/>
          <w:rFonts w:ascii="Palatino Linotype" w:hAnsi="Palatino Linotype"/>
          <w:sz w:val="24"/>
          <w:szCs w:val="24"/>
        </w:rPr>
        <w:footnoteReference w:id="90"/>
      </w:r>
      <w:r w:rsidRPr="00965A86">
        <w:rPr>
          <w:rFonts w:ascii="Palatino Linotype" w:hAnsi="Palatino Linotype"/>
          <w:sz w:val="24"/>
          <w:szCs w:val="24"/>
        </w:rPr>
        <w:t xml:space="preserve"> This includes dropping particular datapoints, recalculating numbers within specific subgroups, trying different types of statistical tests, and continuing to collect new data without plans to stop until </w:t>
      </w:r>
      <w:r w:rsidRPr="00965A86">
        <w:rPr>
          <w:rFonts w:ascii="Palatino Linotype" w:hAnsi="Palatino Linotype"/>
          <w:sz w:val="24"/>
          <w:szCs w:val="24"/>
        </w:rPr>
        <w:lastRenderedPageBreak/>
        <w:t>something reaches significance.</w:t>
      </w:r>
      <w:r w:rsidR="006A40A3">
        <w:rPr>
          <w:rStyle w:val="FootnoteReference"/>
          <w:rFonts w:ascii="Palatino Linotype" w:hAnsi="Palatino Linotype"/>
          <w:sz w:val="24"/>
          <w:szCs w:val="24"/>
        </w:rPr>
        <w:footnoteReference w:id="91"/>
      </w:r>
      <w:r w:rsidRPr="00965A86">
        <w:rPr>
          <w:rFonts w:ascii="Palatino Linotype" w:hAnsi="Palatino Linotype"/>
          <w:sz w:val="24"/>
          <w:szCs w:val="24"/>
        </w:rPr>
        <w:t xml:space="preserve"> A survey of 2,155 American psychologists estimated: 100 percent have, on at least one occasion, selectively excluded data after recognizing results; true prevalence rate was as high as 90 percent; 75 percent have failed to report all conditions in an experiment; and more than 50 percent have stopped data collection after achieving a desired result.</w:t>
      </w:r>
      <w:r w:rsidR="006A40A3">
        <w:rPr>
          <w:rStyle w:val="FootnoteReference"/>
          <w:rFonts w:ascii="Palatino Linotype" w:hAnsi="Palatino Linotype"/>
          <w:sz w:val="24"/>
          <w:szCs w:val="24"/>
        </w:rPr>
        <w:footnoteReference w:id="92"/>
      </w:r>
    </w:p>
    <w:p w14:paraId="2461686D" w14:textId="77777777" w:rsidR="00965A86" w:rsidRDefault="00965A86" w:rsidP="00F83EE2">
      <w:pPr>
        <w:rPr>
          <w:rFonts w:ascii="Palatino Linotype" w:hAnsi="Palatino Linotype"/>
          <w:sz w:val="24"/>
          <w:szCs w:val="24"/>
        </w:rPr>
      </w:pPr>
    </w:p>
    <w:p w14:paraId="0E9CD4C0" w14:textId="77777777" w:rsidR="00965A86" w:rsidRPr="00965A86" w:rsidRDefault="00965A86" w:rsidP="00965A86">
      <w:pPr>
        <w:rPr>
          <w:rFonts w:ascii="Palatino Linotype" w:hAnsi="Palatino Linotype"/>
          <w:b/>
          <w:bCs/>
          <w:sz w:val="24"/>
          <w:szCs w:val="24"/>
        </w:rPr>
      </w:pPr>
      <w:r w:rsidRPr="00965A86">
        <w:rPr>
          <w:rFonts w:ascii="Palatino Linotype" w:hAnsi="Palatino Linotype"/>
          <w:b/>
          <w:bCs/>
          <w:sz w:val="24"/>
          <w:szCs w:val="24"/>
        </w:rPr>
        <w:t>HARKing: Hypothesizing After Results are Known</w:t>
      </w:r>
    </w:p>
    <w:p w14:paraId="2D84B860" w14:textId="77777777" w:rsidR="009B0DA5" w:rsidRDefault="009B0DA5" w:rsidP="002555B2">
      <w:pPr>
        <w:ind w:firstLine="720"/>
        <w:rPr>
          <w:rFonts w:ascii="Palatino Linotype" w:hAnsi="Palatino Linotype"/>
          <w:i/>
          <w:sz w:val="24"/>
          <w:szCs w:val="24"/>
        </w:rPr>
      </w:pPr>
    </w:p>
    <w:p w14:paraId="319A7822" w14:textId="026EA7B2" w:rsidR="00965A86" w:rsidRPr="00965A86" w:rsidRDefault="00965A86" w:rsidP="002555B2">
      <w:pPr>
        <w:ind w:firstLine="720"/>
        <w:rPr>
          <w:rFonts w:ascii="Palatino Linotype" w:hAnsi="Palatino Linotype"/>
          <w:sz w:val="24"/>
          <w:szCs w:val="24"/>
        </w:rPr>
      </w:pPr>
      <w:r w:rsidRPr="00965A86">
        <w:rPr>
          <w:rFonts w:ascii="Palatino Linotype" w:hAnsi="Palatino Linotype"/>
          <w:i/>
          <w:sz w:val="24"/>
          <w:szCs w:val="24"/>
        </w:rPr>
        <w:t xml:space="preserve">HARKing, </w:t>
      </w:r>
      <w:r w:rsidRPr="00965A86">
        <w:rPr>
          <w:rFonts w:ascii="Palatino Linotype" w:hAnsi="Palatino Linotype"/>
          <w:sz w:val="24"/>
          <w:szCs w:val="24"/>
        </w:rPr>
        <w:t xml:space="preserve">a type of </w:t>
      </w:r>
      <w:r w:rsidRPr="00965A86">
        <w:rPr>
          <w:rFonts w:ascii="Palatino Linotype" w:hAnsi="Palatino Linotype"/>
          <w:i/>
          <w:sz w:val="24"/>
          <w:szCs w:val="24"/>
        </w:rPr>
        <w:t>p</w:t>
      </w:r>
      <w:r w:rsidRPr="00965A86">
        <w:rPr>
          <w:rFonts w:ascii="Palatino Linotype" w:hAnsi="Palatino Linotype"/>
          <w:sz w:val="24"/>
          <w:szCs w:val="24"/>
        </w:rPr>
        <w:t>-hacking, is a form of academic deception where the hypothesis of the study is altered after analyzing the data, which allows authors to present confirmatory results somewhat consistent with existing research, while “maintaining the illusion that the research is hypothesis driven and thus consistent with the H-D method.”</w:t>
      </w:r>
      <w:r w:rsidR="009B0DA5">
        <w:rPr>
          <w:rStyle w:val="FootnoteReference"/>
          <w:rFonts w:ascii="Palatino Linotype" w:hAnsi="Palatino Linotype"/>
          <w:sz w:val="24"/>
          <w:szCs w:val="24"/>
        </w:rPr>
        <w:footnoteReference w:id="93"/>
      </w:r>
      <w:r w:rsidRPr="00965A86">
        <w:rPr>
          <w:rFonts w:ascii="Palatino Linotype" w:hAnsi="Palatino Linotype"/>
          <w:sz w:val="24"/>
          <w:szCs w:val="24"/>
        </w:rPr>
        <w:t xml:space="preserve"> A 1998 survey found 40 percent of responders had observed HARKing by other researchers and those surveyed suspected that HARKing was about 20 percent more prevalent than the Hypothetical-Deductive method.</w:t>
      </w:r>
      <w:r w:rsidR="009B0DA5">
        <w:rPr>
          <w:rStyle w:val="FootnoteReference"/>
          <w:rFonts w:ascii="Palatino Linotype" w:hAnsi="Palatino Linotype"/>
          <w:sz w:val="24"/>
          <w:szCs w:val="24"/>
        </w:rPr>
        <w:footnoteReference w:id="94"/>
      </w:r>
    </w:p>
    <w:p w14:paraId="0DFF748A" w14:textId="77777777" w:rsidR="00965A86" w:rsidRPr="00965A86" w:rsidRDefault="00965A86" w:rsidP="00965A86">
      <w:pPr>
        <w:rPr>
          <w:rFonts w:ascii="Palatino Linotype" w:hAnsi="Palatino Linotype"/>
          <w:sz w:val="24"/>
          <w:szCs w:val="24"/>
        </w:rPr>
      </w:pPr>
    </w:p>
    <w:p w14:paraId="1C2690DA" w14:textId="77777777" w:rsidR="00965A86" w:rsidRPr="00965A86" w:rsidRDefault="00965A86" w:rsidP="00965A86">
      <w:pPr>
        <w:rPr>
          <w:rFonts w:ascii="Palatino Linotype" w:hAnsi="Palatino Linotype"/>
          <w:b/>
          <w:bCs/>
          <w:sz w:val="24"/>
          <w:szCs w:val="24"/>
        </w:rPr>
      </w:pPr>
      <w:r w:rsidRPr="00965A86">
        <w:rPr>
          <w:rFonts w:ascii="Palatino Linotype" w:hAnsi="Palatino Linotype"/>
          <w:b/>
          <w:bCs/>
          <w:sz w:val="24"/>
          <w:szCs w:val="24"/>
        </w:rPr>
        <w:t>Publication Bias</w:t>
      </w:r>
    </w:p>
    <w:p w14:paraId="0E8FAFF3" w14:textId="77777777" w:rsidR="00965A86" w:rsidRDefault="00965A86" w:rsidP="002555B2">
      <w:pPr>
        <w:ind w:firstLine="720"/>
        <w:rPr>
          <w:rFonts w:ascii="Palatino Linotype" w:hAnsi="Palatino Linotype"/>
          <w:sz w:val="24"/>
          <w:szCs w:val="24"/>
        </w:rPr>
      </w:pPr>
      <w:r w:rsidRPr="00965A86">
        <w:rPr>
          <w:rFonts w:ascii="Palatino Linotype" w:hAnsi="Palatino Linotype"/>
          <w:sz w:val="24"/>
          <w:szCs w:val="24"/>
        </w:rPr>
        <w:t xml:space="preserve">Regarding </w:t>
      </w:r>
      <w:r w:rsidRPr="00965A86">
        <w:rPr>
          <w:rFonts w:ascii="Palatino Linotype" w:hAnsi="Palatino Linotype"/>
          <w:i/>
          <w:sz w:val="24"/>
          <w:szCs w:val="24"/>
        </w:rPr>
        <w:t>publication bias</w:t>
      </w:r>
      <w:r w:rsidRPr="00965A86">
        <w:rPr>
          <w:rFonts w:ascii="Palatino Linotype" w:hAnsi="Palatino Linotype"/>
          <w:sz w:val="24"/>
          <w:szCs w:val="24"/>
        </w:rPr>
        <w:t>, Dana L. Kendall and Scott C. Campanario write:</w:t>
      </w:r>
    </w:p>
    <w:p w14:paraId="29FBBBCC" w14:textId="77777777" w:rsidR="002555B2" w:rsidRPr="00965A86" w:rsidRDefault="002555B2" w:rsidP="002555B2">
      <w:pPr>
        <w:ind w:firstLine="720"/>
        <w:rPr>
          <w:rFonts w:ascii="Palatino Linotype" w:hAnsi="Palatino Linotype"/>
          <w:sz w:val="24"/>
          <w:szCs w:val="24"/>
        </w:rPr>
      </w:pPr>
    </w:p>
    <w:p w14:paraId="395DABF5" w14:textId="528334D6" w:rsidR="00965A86" w:rsidRPr="00965A86" w:rsidRDefault="00965A86" w:rsidP="002555B2">
      <w:pPr>
        <w:ind w:left="720"/>
        <w:rPr>
          <w:rFonts w:ascii="Palatino Linotype" w:hAnsi="Palatino Linotype"/>
          <w:sz w:val="24"/>
          <w:szCs w:val="24"/>
        </w:rPr>
      </w:pPr>
      <w:r w:rsidRPr="00965A86">
        <w:rPr>
          <w:rFonts w:ascii="Palatino Linotype" w:hAnsi="Palatino Linotype"/>
          <w:sz w:val="24"/>
          <w:szCs w:val="24"/>
        </w:rPr>
        <w:t>As a general rule, journal editors reject studies in which the results do not confirm the author’s initial hypotheses; furthermore, they typically favor testing of new theories over replications. With peer-reviewed journal space at a premium because of international competition and difficulty in securing qualified, volunteer peer reviewers, journal editors can afford to selectively publish only the studies that support hypotheses perfectly and adhere to a clear narrative of positive findings.</w:t>
      </w:r>
      <w:r w:rsidR="00240A26">
        <w:rPr>
          <w:rStyle w:val="FootnoteReference"/>
          <w:rFonts w:ascii="Palatino Linotype" w:hAnsi="Palatino Linotype"/>
          <w:sz w:val="24"/>
          <w:szCs w:val="24"/>
        </w:rPr>
        <w:footnoteReference w:id="95"/>
      </w:r>
    </w:p>
    <w:p w14:paraId="599AB610" w14:textId="77777777" w:rsidR="00965A86" w:rsidRPr="00965A86" w:rsidRDefault="00965A86" w:rsidP="00965A86">
      <w:pPr>
        <w:rPr>
          <w:rFonts w:ascii="Palatino Linotype" w:hAnsi="Palatino Linotype"/>
          <w:sz w:val="24"/>
          <w:szCs w:val="24"/>
        </w:rPr>
      </w:pPr>
    </w:p>
    <w:p w14:paraId="1F475869" w14:textId="107C64C9" w:rsidR="00965A86" w:rsidRPr="00965A86" w:rsidRDefault="00965A86" w:rsidP="002555B2">
      <w:pPr>
        <w:ind w:firstLine="720"/>
        <w:rPr>
          <w:rFonts w:ascii="Palatino Linotype" w:hAnsi="Palatino Linotype"/>
          <w:sz w:val="24"/>
          <w:szCs w:val="24"/>
        </w:rPr>
      </w:pPr>
      <w:r w:rsidRPr="00965A86">
        <w:rPr>
          <w:rFonts w:ascii="Palatino Linotype" w:hAnsi="Palatino Linotype"/>
          <w:sz w:val="24"/>
          <w:szCs w:val="24"/>
        </w:rPr>
        <w:t>Study results failing these standards are “effectively censored from the scientific record.”</w:t>
      </w:r>
      <w:r w:rsidR="00240A26">
        <w:rPr>
          <w:rStyle w:val="FootnoteReference"/>
          <w:rFonts w:ascii="Palatino Linotype" w:hAnsi="Palatino Linotype"/>
          <w:sz w:val="24"/>
          <w:szCs w:val="24"/>
        </w:rPr>
        <w:footnoteReference w:id="96"/>
      </w:r>
    </w:p>
    <w:p w14:paraId="0F176A65" w14:textId="6C25F879" w:rsidR="00965A86" w:rsidRPr="00965A86" w:rsidRDefault="00965A86" w:rsidP="002555B2">
      <w:pPr>
        <w:ind w:firstLine="720"/>
        <w:rPr>
          <w:rFonts w:ascii="Palatino Linotype" w:hAnsi="Palatino Linotype"/>
          <w:sz w:val="24"/>
          <w:szCs w:val="24"/>
        </w:rPr>
      </w:pPr>
      <w:r w:rsidRPr="00965A86">
        <w:rPr>
          <w:rFonts w:ascii="Palatino Linotype" w:hAnsi="Palatino Linotype"/>
          <w:sz w:val="24"/>
          <w:szCs w:val="24"/>
        </w:rPr>
        <w:lastRenderedPageBreak/>
        <w:t>One researcher posited that publication bias will be evident when a domain of scientific literature is dominated by positive results supporting the stated hypothesis. In a random sample of over 2,000 published journal articles, while positive outcomes were more common than negative ones across all disciplines, the bias was highest in psychiatry/psychology at 91 percent.</w:t>
      </w:r>
      <w:r w:rsidR="00240A26">
        <w:rPr>
          <w:rStyle w:val="FootnoteReference"/>
          <w:rFonts w:ascii="Palatino Linotype" w:hAnsi="Palatino Linotype"/>
          <w:sz w:val="24"/>
          <w:szCs w:val="24"/>
        </w:rPr>
        <w:footnoteReference w:id="97"/>
      </w:r>
    </w:p>
    <w:p w14:paraId="10596BA7" w14:textId="77777777" w:rsidR="00965A86" w:rsidRPr="00965A86" w:rsidRDefault="00965A86" w:rsidP="00965A86">
      <w:pPr>
        <w:rPr>
          <w:rFonts w:ascii="Palatino Linotype" w:hAnsi="Palatino Linotype"/>
          <w:sz w:val="24"/>
          <w:szCs w:val="24"/>
        </w:rPr>
      </w:pPr>
    </w:p>
    <w:p w14:paraId="518399AB" w14:textId="77777777" w:rsidR="00965A86" w:rsidRPr="00965A86" w:rsidRDefault="00965A86" w:rsidP="00965A86">
      <w:pPr>
        <w:rPr>
          <w:rFonts w:ascii="Palatino Linotype" w:hAnsi="Palatino Linotype"/>
          <w:b/>
          <w:bCs/>
          <w:sz w:val="24"/>
          <w:szCs w:val="24"/>
        </w:rPr>
      </w:pPr>
      <w:r w:rsidRPr="00965A86">
        <w:rPr>
          <w:rFonts w:ascii="Palatino Linotype" w:hAnsi="Palatino Linotype"/>
          <w:b/>
          <w:bCs/>
          <w:sz w:val="24"/>
          <w:szCs w:val="24"/>
        </w:rPr>
        <w:t>Lack of Data Sharing</w:t>
      </w:r>
    </w:p>
    <w:p w14:paraId="0358C2AB" w14:textId="690C4D5F" w:rsidR="00965A86" w:rsidRPr="00965A86" w:rsidRDefault="00965A86" w:rsidP="002555B2">
      <w:pPr>
        <w:ind w:firstLine="720"/>
        <w:rPr>
          <w:rFonts w:ascii="Palatino Linotype" w:hAnsi="Palatino Linotype"/>
          <w:sz w:val="24"/>
          <w:szCs w:val="24"/>
        </w:rPr>
      </w:pPr>
      <w:r w:rsidRPr="00965A86">
        <w:rPr>
          <w:rFonts w:ascii="Palatino Linotype" w:hAnsi="Palatino Linotype"/>
          <w:i/>
          <w:sz w:val="24"/>
          <w:szCs w:val="24"/>
        </w:rPr>
        <w:t xml:space="preserve">Lack of data sharing </w:t>
      </w:r>
      <w:r w:rsidRPr="00965A86">
        <w:rPr>
          <w:rFonts w:ascii="Palatino Linotype" w:hAnsi="Palatino Linotype"/>
          <w:sz w:val="24"/>
          <w:szCs w:val="24"/>
        </w:rPr>
        <w:t>prevents accurate meta-analysis and obstructs detecting data fabrication.</w:t>
      </w:r>
      <w:r w:rsidR="00240A26">
        <w:rPr>
          <w:rStyle w:val="FootnoteReference"/>
          <w:rFonts w:ascii="Palatino Linotype" w:hAnsi="Palatino Linotype"/>
          <w:sz w:val="24"/>
          <w:szCs w:val="24"/>
        </w:rPr>
        <w:footnoteReference w:id="98"/>
      </w:r>
      <w:r w:rsidRPr="00965A86">
        <w:rPr>
          <w:rFonts w:ascii="Palatino Linotype" w:hAnsi="Palatino Linotype"/>
          <w:sz w:val="24"/>
          <w:szCs w:val="24"/>
        </w:rPr>
        <w:t xml:space="preserve"> Researchers requested data from 249 studies published in four major psychology journals: 73 percent of the authors did not share their data.</w:t>
      </w:r>
      <w:r w:rsidR="00240A26">
        <w:rPr>
          <w:rStyle w:val="FootnoteReference"/>
          <w:rFonts w:ascii="Palatino Linotype" w:hAnsi="Palatino Linotype"/>
          <w:sz w:val="24"/>
          <w:szCs w:val="24"/>
        </w:rPr>
        <w:footnoteReference w:id="99"/>
      </w:r>
      <w:r w:rsidRPr="00965A86">
        <w:rPr>
          <w:rFonts w:ascii="Palatino Linotype" w:hAnsi="Palatino Linotype"/>
          <w:sz w:val="24"/>
          <w:szCs w:val="24"/>
        </w:rPr>
        <w:t xml:space="preserve"> Another 2014 survey of reviews in</w:t>
      </w:r>
      <w:r w:rsidR="002555B2">
        <w:rPr>
          <w:rFonts w:ascii="Palatino Linotype" w:hAnsi="Palatino Linotype"/>
          <w:sz w:val="24"/>
          <w:szCs w:val="24"/>
        </w:rPr>
        <w:t xml:space="preserve"> </w:t>
      </w:r>
      <w:r w:rsidRPr="00965A86">
        <w:rPr>
          <w:rFonts w:ascii="Palatino Linotype" w:hAnsi="Palatino Linotype"/>
          <w:sz w:val="24"/>
          <w:szCs w:val="24"/>
        </w:rPr>
        <w:t>high impact medical journals found 31 percent of meta-analyses did not check for publication bias; 19.4 percent of these meta-analyses had publication bias.</w:t>
      </w:r>
      <w:r w:rsidR="005D55B4">
        <w:rPr>
          <w:rStyle w:val="FootnoteReference"/>
          <w:rFonts w:ascii="Palatino Linotype" w:hAnsi="Palatino Linotype"/>
          <w:sz w:val="24"/>
          <w:szCs w:val="24"/>
        </w:rPr>
        <w:footnoteReference w:id="100"/>
      </w:r>
    </w:p>
    <w:p w14:paraId="7F30D696" w14:textId="77777777" w:rsidR="00965A86" w:rsidRPr="00965A86" w:rsidRDefault="00965A86" w:rsidP="00965A86">
      <w:pPr>
        <w:rPr>
          <w:rFonts w:ascii="Palatino Linotype" w:hAnsi="Palatino Linotype"/>
          <w:sz w:val="24"/>
          <w:szCs w:val="24"/>
        </w:rPr>
      </w:pPr>
    </w:p>
    <w:p w14:paraId="0FA528BD" w14:textId="77777777" w:rsidR="00965A86" w:rsidRPr="00965A86" w:rsidRDefault="00965A86" w:rsidP="00965A86">
      <w:pPr>
        <w:rPr>
          <w:rFonts w:ascii="Palatino Linotype" w:hAnsi="Palatino Linotype"/>
          <w:b/>
          <w:bCs/>
          <w:sz w:val="24"/>
          <w:szCs w:val="24"/>
        </w:rPr>
      </w:pPr>
      <w:r w:rsidRPr="00965A86">
        <w:rPr>
          <w:rFonts w:ascii="Palatino Linotype" w:hAnsi="Palatino Linotype"/>
          <w:b/>
          <w:bCs/>
          <w:sz w:val="24"/>
          <w:szCs w:val="24"/>
        </w:rPr>
        <w:t>Motivations for QRPs</w:t>
      </w:r>
    </w:p>
    <w:p w14:paraId="1FA15FEC" w14:textId="5ADD047C" w:rsidR="00965A86" w:rsidRDefault="00965A86" w:rsidP="001B1809">
      <w:pPr>
        <w:ind w:firstLine="720"/>
        <w:rPr>
          <w:rFonts w:ascii="Palatino Linotype" w:hAnsi="Palatino Linotype"/>
          <w:sz w:val="24"/>
          <w:szCs w:val="24"/>
        </w:rPr>
      </w:pPr>
      <w:r w:rsidRPr="00965A86">
        <w:rPr>
          <w:rFonts w:ascii="Palatino Linotype" w:hAnsi="Palatino Linotype"/>
          <w:sz w:val="24"/>
          <w:szCs w:val="24"/>
        </w:rPr>
        <w:t>“Publish or perish” describes the pressure of publishing in order to attain and keep an academic career. In addition, publications can lead to increased reputation and financial gain,</w:t>
      </w:r>
      <w:r w:rsidR="005D55B4">
        <w:rPr>
          <w:rFonts w:ascii="Palatino Linotype" w:hAnsi="Palatino Linotype"/>
          <w:sz w:val="24"/>
          <w:szCs w:val="24"/>
        </w:rPr>
        <w:t xml:space="preserve"> </w:t>
      </w:r>
      <w:r w:rsidRPr="00965A86">
        <w:rPr>
          <w:rFonts w:ascii="Palatino Linotype" w:hAnsi="Palatino Linotype"/>
          <w:sz w:val="24"/>
          <w:szCs w:val="24"/>
        </w:rPr>
        <w:t>including grant funding, lucrative careers with best-selling books, professional appearances, and consultation opportunities.</w:t>
      </w:r>
      <w:r w:rsidR="005D55B4">
        <w:rPr>
          <w:rStyle w:val="FootnoteReference"/>
          <w:rFonts w:ascii="Palatino Linotype" w:hAnsi="Palatino Linotype"/>
          <w:sz w:val="24"/>
          <w:szCs w:val="24"/>
        </w:rPr>
        <w:footnoteReference w:id="101"/>
      </w:r>
      <w:r w:rsidRPr="00965A86">
        <w:rPr>
          <w:rFonts w:ascii="Palatino Linotype" w:hAnsi="Palatino Linotype"/>
          <w:sz w:val="24"/>
          <w:szCs w:val="24"/>
        </w:rPr>
        <w:t xml:space="preserve"> At the same time, researchers come up across very real limitations, such as finite resources of financial support, time, and energy. In addition, Stuart Ritchie coined the term “meaning well bias” where a scientist “really </w:t>
      </w:r>
      <w:r w:rsidRPr="00965A86">
        <w:rPr>
          <w:rFonts w:ascii="Palatino Linotype" w:hAnsi="Palatino Linotype"/>
          <w:i/>
          <w:sz w:val="24"/>
          <w:szCs w:val="24"/>
        </w:rPr>
        <w:t xml:space="preserve">wants </w:t>
      </w:r>
      <w:r w:rsidRPr="00965A86">
        <w:rPr>
          <w:rFonts w:ascii="Palatino Linotype" w:hAnsi="Palatino Linotype"/>
          <w:sz w:val="24"/>
          <w:szCs w:val="24"/>
        </w:rPr>
        <w:t>their study to provide strong results, because it would mean progress in fighting a disease, or a social or environmental ill, or some other important problem.… It’s simply that the scientist means well and wants to feel like their research is beneficial.”</w:t>
      </w:r>
      <w:r w:rsidR="005D55B4">
        <w:rPr>
          <w:rStyle w:val="FootnoteReference"/>
          <w:rFonts w:ascii="Palatino Linotype" w:hAnsi="Palatino Linotype"/>
          <w:sz w:val="24"/>
          <w:szCs w:val="24"/>
        </w:rPr>
        <w:footnoteReference w:id="102"/>
      </w:r>
    </w:p>
    <w:p w14:paraId="20EB1ECF" w14:textId="77777777" w:rsidR="001B1809" w:rsidRPr="00965A86" w:rsidRDefault="001B1809" w:rsidP="001B1809">
      <w:pPr>
        <w:ind w:firstLine="720"/>
        <w:rPr>
          <w:rFonts w:ascii="Palatino Linotype" w:hAnsi="Palatino Linotype"/>
          <w:sz w:val="24"/>
          <w:szCs w:val="24"/>
        </w:rPr>
      </w:pPr>
    </w:p>
    <w:p w14:paraId="0CE9ABE4" w14:textId="77777777" w:rsidR="00965A86" w:rsidRPr="00965A86" w:rsidRDefault="00965A86" w:rsidP="001B1809">
      <w:pPr>
        <w:jc w:val="center"/>
        <w:rPr>
          <w:rFonts w:ascii="Palatino Linotype" w:hAnsi="Palatino Linotype"/>
          <w:sz w:val="24"/>
          <w:szCs w:val="24"/>
        </w:rPr>
      </w:pPr>
      <w:r w:rsidRPr="00965A86">
        <w:rPr>
          <w:rFonts w:ascii="Palatino Linotype" w:hAnsi="Palatino Linotype"/>
          <w:sz w:val="24"/>
          <w:szCs w:val="24"/>
        </w:rPr>
        <w:t>Negligence</w:t>
      </w:r>
    </w:p>
    <w:p w14:paraId="7B74046B" w14:textId="126A3E2A" w:rsidR="00965A86" w:rsidRPr="00965A86" w:rsidRDefault="00965A86" w:rsidP="002555B2">
      <w:pPr>
        <w:ind w:firstLine="720"/>
        <w:rPr>
          <w:rFonts w:ascii="Palatino Linotype" w:hAnsi="Palatino Linotype"/>
          <w:sz w:val="24"/>
          <w:szCs w:val="24"/>
        </w:rPr>
      </w:pPr>
      <w:r w:rsidRPr="00965A86">
        <w:rPr>
          <w:rFonts w:ascii="Palatino Linotype" w:hAnsi="Palatino Linotype"/>
          <w:sz w:val="24"/>
          <w:szCs w:val="24"/>
        </w:rPr>
        <w:t xml:space="preserve">Ritchie defines two kinds of scientific negligence. The first is unforced errors that </w:t>
      </w:r>
      <w:r w:rsidRPr="00965A86">
        <w:rPr>
          <w:rFonts w:ascii="Palatino Linotype" w:hAnsi="Palatino Linotype"/>
          <w:sz w:val="24"/>
          <w:szCs w:val="24"/>
        </w:rPr>
        <w:lastRenderedPageBreak/>
        <w:t>come from inattention, oversight, and carelessness. The second is study design error from poor training, apathy, forgetfulness, and sheer incompetence.</w:t>
      </w:r>
      <w:r w:rsidR="005D55B4" w:rsidRPr="00E92D67">
        <w:rPr>
          <w:rStyle w:val="FootnoteReference"/>
          <w:rFonts w:ascii="Palatino Linotype" w:hAnsi="Palatino Linotype"/>
          <w:sz w:val="24"/>
          <w:szCs w:val="24"/>
        </w:rPr>
        <w:footnoteReference w:id="103"/>
      </w:r>
    </w:p>
    <w:p w14:paraId="2CDA7EB9" w14:textId="77777777" w:rsidR="00965A86" w:rsidRPr="00965A86" w:rsidRDefault="00965A86" w:rsidP="00965A86">
      <w:pPr>
        <w:rPr>
          <w:rFonts w:ascii="Palatino Linotype" w:hAnsi="Palatino Linotype"/>
          <w:sz w:val="24"/>
          <w:szCs w:val="24"/>
        </w:rPr>
      </w:pPr>
    </w:p>
    <w:p w14:paraId="553C50CE" w14:textId="15F54A5E" w:rsidR="00965A86" w:rsidRPr="00965A86" w:rsidRDefault="00965A86" w:rsidP="001B1809">
      <w:pPr>
        <w:jc w:val="center"/>
        <w:rPr>
          <w:rFonts w:ascii="Palatino Linotype" w:hAnsi="Palatino Linotype"/>
          <w:sz w:val="24"/>
          <w:szCs w:val="24"/>
        </w:rPr>
      </w:pPr>
      <w:r w:rsidRPr="00965A86">
        <w:rPr>
          <w:rFonts w:ascii="Palatino Linotype" w:hAnsi="Palatino Linotype"/>
          <w:sz w:val="24"/>
          <w:szCs w:val="24"/>
        </w:rPr>
        <w:t>Hype</w:t>
      </w:r>
      <w:r w:rsidR="00DC3FB6" w:rsidRPr="00E92D67">
        <w:rPr>
          <w:rStyle w:val="FootnoteReference"/>
          <w:rFonts w:ascii="Palatino Linotype" w:hAnsi="Palatino Linotype"/>
          <w:sz w:val="24"/>
          <w:szCs w:val="24"/>
        </w:rPr>
        <w:footnoteReference w:id="104"/>
      </w:r>
    </w:p>
    <w:p w14:paraId="05F4C143" w14:textId="3146AF07" w:rsidR="00965A86" w:rsidRPr="00965A86" w:rsidRDefault="00965A86" w:rsidP="002555B2">
      <w:pPr>
        <w:ind w:firstLine="720"/>
        <w:rPr>
          <w:rFonts w:ascii="Palatino Linotype" w:hAnsi="Palatino Linotype"/>
          <w:sz w:val="24"/>
          <w:szCs w:val="24"/>
        </w:rPr>
      </w:pPr>
      <w:r w:rsidRPr="00965A86">
        <w:rPr>
          <w:rFonts w:ascii="Palatino Linotype" w:hAnsi="Palatino Linotype"/>
          <w:sz w:val="24"/>
          <w:szCs w:val="24"/>
        </w:rPr>
        <w:t>As addressed in motivation for QRPs, scientists and scientific institutions want to convince their funders and followers that their research has impact. One article found three types of hype in press releases for health-related scientific studies: exaggerated advice, exaggerated causal claims, and exaggerated inference to humans from animal research.</w:t>
      </w:r>
      <w:r w:rsidR="00DC3FB6" w:rsidRPr="00E92D67">
        <w:rPr>
          <w:rStyle w:val="FootnoteReference"/>
          <w:rFonts w:ascii="Palatino Linotype" w:hAnsi="Palatino Linotype"/>
          <w:sz w:val="24"/>
          <w:szCs w:val="24"/>
        </w:rPr>
        <w:footnoteReference w:id="105"/>
      </w:r>
      <w:r w:rsidRPr="00965A86">
        <w:rPr>
          <w:rFonts w:ascii="Palatino Linotype" w:hAnsi="Palatino Linotype"/>
          <w:sz w:val="24"/>
          <w:szCs w:val="24"/>
        </w:rPr>
        <w:t xml:space="preserve"> When press releases contained such exaggerations, 58 percent, 81 percent, and 86 percent of news stories, respectively, contained similar exaggeration. This is in comparison with exaggeration rates of 17 percent, 18 percent, and 10 percent in news when press releases were not exaggerated.</w:t>
      </w:r>
    </w:p>
    <w:p w14:paraId="01B1511B" w14:textId="77777777" w:rsidR="00DC3FB6" w:rsidRPr="00E92D67" w:rsidRDefault="00DC3FB6" w:rsidP="00DC3FB6">
      <w:pPr>
        <w:ind w:firstLine="720"/>
        <w:rPr>
          <w:rFonts w:ascii="Palatino Linotype" w:hAnsi="Palatino Linotype"/>
          <w:sz w:val="24"/>
          <w:szCs w:val="24"/>
        </w:rPr>
      </w:pPr>
    </w:p>
    <w:p w14:paraId="5723393C" w14:textId="643A5D74" w:rsidR="006A72DE" w:rsidRPr="00E92D67" w:rsidRDefault="00965A86" w:rsidP="00DC3FB6">
      <w:pPr>
        <w:ind w:firstLine="720"/>
        <w:rPr>
          <w:rFonts w:ascii="Palatino Linotype" w:hAnsi="Palatino Linotype"/>
          <w:sz w:val="24"/>
          <w:szCs w:val="24"/>
        </w:rPr>
      </w:pPr>
      <w:r w:rsidRPr="00965A86">
        <w:rPr>
          <w:rFonts w:ascii="Palatino Linotype" w:hAnsi="Palatino Linotype"/>
          <w:sz w:val="24"/>
          <w:szCs w:val="24"/>
        </w:rPr>
        <w:t xml:space="preserve">The second exaggeration, causal claims, points to a foundational tenet of science: correlation is </w:t>
      </w:r>
      <w:r w:rsidRPr="00965A86">
        <w:rPr>
          <w:rFonts w:ascii="Palatino Linotype" w:hAnsi="Palatino Linotype"/>
          <w:i/>
          <w:sz w:val="24"/>
          <w:szCs w:val="24"/>
        </w:rPr>
        <w:t xml:space="preserve">not </w:t>
      </w:r>
      <w:r w:rsidRPr="00965A86">
        <w:rPr>
          <w:rFonts w:ascii="Palatino Linotype" w:hAnsi="Palatino Linotype"/>
          <w:sz w:val="24"/>
          <w:szCs w:val="24"/>
        </w:rPr>
        <w:t>causation! Chris Chambers writes, “most research findings in psycholog</w:t>
      </w:r>
      <w:r w:rsidR="00DC3FB6" w:rsidRPr="00E92D67">
        <w:rPr>
          <w:rFonts w:ascii="Palatino Linotype" w:hAnsi="Palatino Linotype"/>
          <w:sz w:val="24"/>
          <w:szCs w:val="24"/>
        </w:rPr>
        <w:t>y</w:t>
      </w:r>
      <w:r w:rsidR="006A72DE" w:rsidRPr="00E92D67">
        <w:rPr>
          <w:rFonts w:ascii="Palatino Linotype" w:hAnsi="Palatino Linotype"/>
          <w:sz w:val="24"/>
          <w:szCs w:val="24"/>
        </w:rPr>
        <w:t xml:space="preserve"> </w:t>
      </w:r>
      <w:r w:rsidR="006A72DE" w:rsidRPr="00E92D67">
        <w:rPr>
          <w:rFonts w:ascii="Palatino Linotype" w:hAnsi="Palatino Linotype"/>
          <w:sz w:val="24"/>
          <w:szCs w:val="24"/>
        </w:rPr>
        <w:t xml:space="preserve">are </w:t>
      </w:r>
      <w:r w:rsidR="006A72DE" w:rsidRPr="00E92D67">
        <w:rPr>
          <w:rFonts w:ascii="Palatino Linotype" w:hAnsi="Palatino Linotype"/>
          <w:i/>
          <w:sz w:val="24"/>
          <w:szCs w:val="24"/>
        </w:rPr>
        <w:t xml:space="preserve">probabilistic </w:t>
      </w:r>
      <w:r w:rsidR="006A72DE" w:rsidRPr="00E92D67">
        <w:rPr>
          <w:rFonts w:ascii="Palatino Linotype" w:hAnsi="Palatino Linotype"/>
          <w:sz w:val="24"/>
          <w:szCs w:val="24"/>
        </w:rPr>
        <w:t xml:space="preserve">rather than </w:t>
      </w:r>
      <w:r w:rsidR="006A72DE" w:rsidRPr="00E92D67">
        <w:rPr>
          <w:rFonts w:ascii="Palatino Linotype" w:hAnsi="Palatino Linotype"/>
          <w:i/>
          <w:sz w:val="24"/>
          <w:szCs w:val="24"/>
        </w:rPr>
        <w:t>deterministic</w:t>
      </w:r>
      <w:r w:rsidR="006A72DE" w:rsidRPr="00E92D67">
        <w:rPr>
          <w:rFonts w:ascii="Palatino Linotype" w:hAnsi="Palatino Linotype"/>
          <w:sz w:val="24"/>
          <w:szCs w:val="24"/>
        </w:rPr>
        <w:t>: conventional statistical tests talk to us in terms of probabilities rather than proofs.”</w:t>
      </w:r>
      <w:r w:rsidR="00CE215B">
        <w:rPr>
          <w:rStyle w:val="FootnoteReference"/>
          <w:rFonts w:ascii="Palatino Linotype" w:hAnsi="Palatino Linotype"/>
          <w:sz w:val="24"/>
          <w:szCs w:val="24"/>
        </w:rPr>
        <w:footnoteReference w:id="106"/>
      </w:r>
      <w:r w:rsidR="006A72DE" w:rsidRPr="00E92D67">
        <w:rPr>
          <w:rFonts w:ascii="Palatino Linotype" w:hAnsi="Palatino Linotype"/>
          <w:sz w:val="24"/>
          <w:szCs w:val="24"/>
        </w:rPr>
        <w:t>The third exaggeration, cross species leap, points to limited external validity. One scholar writes, “much of the psychological wisdom on offer is based on very limited bodies of research and that much of psychological science places little value on assessing the external validity of research, ‘external validity’ meaning simply the question of whether a research finding is applicable to the real world.”</w:t>
      </w:r>
      <w:r w:rsidR="00CE215B">
        <w:rPr>
          <w:rStyle w:val="FootnoteReference"/>
          <w:rFonts w:ascii="Palatino Linotype" w:hAnsi="Palatino Linotype"/>
          <w:sz w:val="24"/>
          <w:szCs w:val="24"/>
        </w:rPr>
        <w:footnoteReference w:id="107"/>
      </w:r>
    </w:p>
    <w:p w14:paraId="2109AC32" w14:textId="77777777" w:rsidR="00E57DD5" w:rsidRDefault="00E57DD5" w:rsidP="00E57DD5">
      <w:pPr>
        <w:ind w:firstLine="720"/>
        <w:rPr>
          <w:rFonts w:ascii="Palatino Linotype" w:hAnsi="Palatino Linotype"/>
          <w:sz w:val="24"/>
          <w:szCs w:val="24"/>
        </w:rPr>
      </w:pPr>
    </w:p>
    <w:p w14:paraId="7D57958D" w14:textId="0DFF9527" w:rsidR="006A72DE" w:rsidRPr="006A72DE" w:rsidRDefault="006A72DE" w:rsidP="00E57DD5">
      <w:pPr>
        <w:ind w:firstLine="720"/>
        <w:rPr>
          <w:rFonts w:ascii="Palatino Linotype" w:hAnsi="Palatino Linotype"/>
          <w:sz w:val="24"/>
          <w:szCs w:val="24"/>
        </w:rPr>
      </w:pPr>
      <w:r w:rsidRPr="006A72DE">
        <w:rPr>
          <w:rFonts w:ascii="Palatino Linotype" w:hAnsi="Palatino Linotype"/>
          <w:sz w:val="24"/>
          <w:szCs w:val="24"/>
        </w:rPr>
        <w:t>With a greater understanding of factors that undermine science and research, we turn to neuroscience.</w:t>
      </w:r>
    </w:p>
    <w:p w14:paraId="41BE88EB" w14:textId="77777777" w:rsidR="006A72DE" w:rsidRPr="006A72DE" w:rsidRDefault="006A72DE" w:rsidP="006A72DE">
      <w:pPr>
        <w:rPr>
          <w:rFonts w:ascii="Palatino Linotype" w:hAnsi="Palatino Linotype"/>
          <w:sz w:val="24"/>
          <w:szCs w:val="24"/>
        </w:rPr>
      </w:pPr>
    </w:p>
    <w:p w14:paraId="45977AC9" w14:textId="77777777" w:rsidR="006A72DE" w:rsidRPr="006A72DE" w:rsidRDefault="006A72DE" w:rsidP="006A72DE">
      <w:pPr>
        <w:rPr>
          <w:rFonts w:ascii="Palatino Linotype" w:hAnsi="Palatino Linotype"/>
          <w:b/>
          <w:bCs/>
          <w:sz w:val="24"/>
          <w:szCs w:val="24"/>
        </w:rPr>
      </w:pPr>
      <w:r w:rsidRPr="006A72DE">
        <w:rPr>
          <w:rFonts w:ascii="Palatino Linotype" w:hAnsi="Palatino Linotype"/>
          <w:b/>
          <w:bCs/>
          <w:sz w:val="24"/>
          <w:szCs w:val="24"/>
        </w:rPr>
        <w:t>Neuroscience</w:t>
      </w:r>
    </w:p>
    <w:p w14:paraId="5F4E3B92" w14:textId="279F0B6C" w:rsidR="006A72DE" w:rsidRPr="006A72DE" w:rsidRDefault="006A72DE" w:rsidP="00E92D67">
      <w:pPr>
        <w:ind w:firstLine="720"/>
        <w:rPr>
          <w:rFonts w:ascii="Palatino Linotype" w:hAnsi="Palatino Linotype"/>
          <w:sz w:val="24"/>
          <w:szCs w:val="24"/>
        </w:rPr>
      </w:pPr>
      <w:r w:rsidRPr="006A72DE">
        <w:rPr>
          <w:rFonts w:ascii="Palatino Linotype" w:hAnsi="Palatino Linotype"/>
          <w:sz w:val="24"/>
          <w:szCs w:val="24"/>
        </w:rPr>
        <w:t>According to the Society for Neuroscience, neuroscience is the study of the brain and nervous system.</w:t>
      </w:r>
      <w:r w:rsidR="00CE215B">
        <w:rPr>
          <w:rStyle w:val="FootnoteReference"/>
          <w:rFonts w:ascii="Palatino Linotype" w:hAnsi="Palatino Linotype"/>
          <w:sz w:val="24"/>
          <w:szCs w:val="24"/>
        </w:rPr>
        <w:footnoteReference w:id="108"/>
      </w:r>
      <w:r w:rsidRPr="006A72DE">
        <w:rPr>
          <w:rFonts w:ascii="Palatino Linotype" w:hAnsi="Palatino Linotype"/>
          <w:sz w:val="24"/>
          <w:szCs w:val="24"/>
        </w:rPr>
        <w:t xml:space="preserve"> Those studying the brain/mind include theoretical physicists, mathematicians, computer scientists, experimental physicists, engineers, computer programmers, biologists, psychologists, philosophers, and “the occasional </w:t>
      </w:r>
      <w:r w:rsidRPr="006A72DE">
        <w:rPr>
          <w:rFonts w:ascii="Palatino Linotype" w:hAnsi="Palatino Linotype"/>
          <w:sz w:val="24"/>
          <w:szCs w:val="24"/>
        </w:rPr>
        <w:lastRenderedPageBreak/>
        <w:t>theologian.”</w:t>
      </w:r>
      <w:r w:rsidR="00E57DD5">
        <w:rPr>
          <w:rStyle w:val="FootnoteReference"/>
          <w:rFonts w:ascii="Palatino Linotype" w:hAnsi="Palatino Linotype"/>
          <w:sz w:val="24"/>
          <w:szCs w:val="24"/>
        </w:rPr>
        <w:footnoteReference w:id="109"/>
      </w:r>
      <w:r w:rsidR="001F2D66">
        <w:rPr>
          <w:rFonts w:ascii="Palatino Linotype" w:hAnsi="Palatino Linotype"/>
          <w:sz w:val="24"/>
          <w:szCs w:val="24"/>
        </w:rPr>
        <w:t xml:space="preserve"> </w:t>
      </w:r>
      <w:r w:rsidRPr="006A72DE">
        <w:rPr>
          <w:rFonts w:ascii="Palatino Linotype" w:hAnsi="Palatino Linotype"/>
          <w:sz w:val="24"/>
          <w:szCs w:val="24"/>
        </w:rPr>
        <w:t>While there are presuppositions in neuroscience,</w:t>
      </w:r>
      <w:r w:rsidR="001F2D66">
        <w:rPr>
          <w:rStyle w:val="FootnoteReference"/>
          <w:rFonts w:ascii="Palatino Linotype" w:hAnsi="Palatino Linotype"/>
          <w:sz w:val="24"/>
          <w:szCs w:val="24"/>
        </w:rPr>
        <w:footnoteReference w:id="110"/>
      </w:r>
      <w:r w:rsidRPr="006A72DE">
        <w:rPr>
          <w:rFonts w:ascii="Palatino Linotype" w:hAnsi="Palatino Linotype"/>
          <w:sz w:val="24"/>
          <w:szCs w:val="24"/>
        </w:rPr>
        <w:t xml:space="preserve"> there is no grand unifying or overarching theory.</w:t>
      </w:r>
      <w:r w:rsidR="001F2D66">
        <w:rPr>
          <w:rStyle w:val="FootnoteReference"/>
          <w:rFonts w:ascii="Palatino Linotype" w:hAnsi="Palatino Linotype"/>
          <w:sz w:val="24"/>
          <w:szCs w:val="24"/>
        </w:rPr>
        <w:footnoteReference w:id="111"/>
      </w:r>
    </w:p>
    <w:p w14:paraId="3D995DEA" w14:textId="77777777" w:rsidR="006A72DE" w:rsidRPr="006A72DE" w:rsidRDefault="006A72DE" w:rsidP="006A72DE">
      <w:pPr>
        <w:rPr>
          <w:rFonts w:ascii="Palatino Linotype" w:hAnsi="Palatino Linotype"/>
          <w:sz w:val="24"/>
          <w:szCs w:val="24"/>
        </w:rPr>
      </w:pPr>
    </w:p>
    <w:p w14:paraId="3FB4A888" w14:textId="77777777" w:rsidR="006A72DE" w:rsidRPr="006A72DE" w:rsidRDefault="006A72DE" w:rsidP="001F2D66">
      <w:pPr>
        <w:jc w:val="center"/>
        <w:rPr>
          <w:rFonts w:ascii="Palatino Linotype" w:hAnsi="Palatino Linotype"/>
          <w:sz w:val="24"/>
          <w:szCs w:val="24"/>
        </w:rPr>
      </w:pPr>
      <w:r w:rsidRPr="006A72DE">
        <w:rPr>
          <w:rFonts w:ascii="Palatino Linotype" w:hAnsi="Palatino Linotype"/>
          <w:sz w:val="24"/>
          <w:szCs w:val="24"/>
        </w:rPr>
        <w:t>Neuroimaging</w:t>
      </w:r>
    </w:p>
    <w:p w14:paraId="10B25109" w14:textId="5EA73BE5" w:rsidR="006A72DE" w:rsidRPr="006A72DE" w:rsidRDefault="006A72DE" w:rsidP="0099155D">
      <w:pPr>
        <w:ind w:firstLine="720"/>
        <w:rPr>
          <w:rFonts w:ascii="Palatino Linotype" w:hAnsi="Palatino Linotype"/>
          <w:sz w:val="24"/>
          <w:szCs w:val="24"/>
        </w:rPr>
      </w:pPr>
      <w:r w:rsidRPr="006A72DE">
        <w:rPr>
          <w:rFonts w:ascii="Palatino Linotype" w:hAnsi="Palatino Linotype"/>
          <w:sz w:val="24"/>
          <w:szCs w:val="24"/>
        </w:rPr>
        <w:t>Neuroimaging is the use of various techniques to either directly or indirectly image the structure, function, or pharmacology of the nervous system. It is a relatively new discipline within medicine, neuroscience, and psychology.</w:t>
      </w:r>
      <w:r w:rsidR="0091651B" w:rsidRPr="005C7D21">
        <w:rPr>
          <w:rStyle w:val="FootnoteReference"/>
          <w:rFonts w:ascii="Palatino Linotype" w:hAnsi="Palatino Linotype"/>
          <w:sz w:val="24"/>
          <w:szCs w:val="24"/>
        </w:rPr>
        <w:footnoteReference w:id="112"/>
      </w:r>
      <w:r w:rsidRPr="006A72DE">
        <w:rPr>
          <w:rFonts w:ascii="Palatino Linotype" w:hAnsi="Palatino Linotype"/>
          <w:sz w:val="24"/>
          <w:szCs w:val="24"/>
        </w:rPr>
        <w:t xml:space="preserve"> Techniques include EEG, PET, MRI, and fMRI, with which neuroscientists attempt to examine the connections between brain, mind, and behavior.</w:t>
      </w:r>
    </w:p>
    <w:p w14:paraId="74AA0759" w14:textId="77777777" w:rsidR="0099155D" w:rsidRPr="005C7D21" w:rsidRDefault="0099155D" w:rsidP="0099155D">
      <w:pPr>
        <w:ind w:firstLine="720"/>
        <w:rPr>
          <w:rFonts w:ascii="Palatino Linotype" w:hAnsi="Palatino Linotype"/>
          <w:sz w:val="24"/>
          <w:szCs w:val="24"/>
        </w:rPr>
      </w:pPr>
    </w:p>
    <w:p w14:paraId="7DFF4F68" w14:textId="0672A7FB" w:rsidR="006A72DE" w:rsidRPr="005C7D21" w:rsidRDefault="006A72DE" w:rsidP="005C7D21">
      <w:pPr>
        <w:ind w:firstLine="720"/>
        <w:rPr>
          <w:rFonts w:ascii="Palatino Linotype" w:hAnsi="Palatino Linotype"/>
          <w:sz w:val="24"/>
          <w:szCs w:val="24"/>
        </w:rPr>
      </w:pPr>
      <w:r w:rsidRPr="006A72DE">
        <w:rPr>
          <w:rFonts w:ascii="Palatino Linotype" w:hAnsi="Palatino Linotype"/>
          <w:sz w:val="24"/>
          <w:szCs w:val="24"/>
        </w:rPr>
        <w:t>Commonly used to study psychological phenomena is fMRI. Not a direct measure of activity, an fMRI detects regional blood flow changes which occur with a latency from neuronal activity that can range from a few seconds to as much as a minute. Additionally, “fMRI requires a lot of signal-processing, which means that researchers must make choices about which data points</w:t>
      </w:r>
      <w:r w:rsidRPr="005C7D21">
        <w:rPr>
          <w:rFonts w:ascii="Palatino Linotype" w:hAnsi="Palatino Linotype"/>
          <w:sz w:val="24"/>
          <w:szCs w:val="24"/>
        </w:rPr>
        <w:t xml:space="preserve"> </w:t>
      </w:r>
      <w:r w:rsidRPr="005C7D21">
        <w:rPr>
          <w:rFonts w:ascii="Palatino Linotype" w:hAnsi="Palatino Linotype"/>
          <w:sz w:val="24"/>
          <w:szCs w:val="24"/>
        </w:rPr>
        <w:t>are important and which are noise. Such decisions inherently introduce bias into the research. The researchers’ processing ‘smudges’ the images, making interpretation considerably more difficult and unreliable.”</w:t>
      </w:r>
      <w:r w:rsidR="005C7D21">
        <w:rPr>
          <w:rStyle w:val="FootnoteReference"/>
          <w:rFonts w:ascii="Palatino Linotype" w:hAnsi="Palatino Linotype"/>
          <w:sz w:val="24"/>
          <w:szCs w:val="24"/>
        </w:rPr>
        <w:footnoteReference w:id="113"/>
      </w:r>
    </w:p>
    <w:p w14:paraId="0F0D56A0" w14:textId="77777777" w:rsidR="006A72DE" w:rsidRPr="006A72DE" w:rsidRDefault="006A72DE" w:rsidP="00686823">
      <w:pPr>
        <w:rPr>
          <w:rFonts w:ascii="Palatino Linotype" w:hAnsi="Palatino Linotype"/>
          <w:sz w:val="24"/>
          <w:szCs w:val="24"/>
        </w:rPr>
      </w:pPr>
    </w:p>
    <w:p w14:paraId="0DC0FF29" w14:textId="77777777" w:rsidR="006A72DE" w:rsidRPr="006A72DE" w:rsidRDefault="006A72DE" w:rsidP="005C7D21">
      <w:pPr>
        <w:jc w:val="center"/>
        <w:rPr>
          <w:rFonts w:ascii="Palatino Linotype" w:hAnsi="Palatino Linotype"/>
          <w:sz w:val="24"/>
          <w:szCs w:val="24"/>
        </w:rPr>
      </w:pPr>
      <w:r w:rsidRPr="006A72DE">
        <w:rPr>
          <w:rFonts w:ascii="Palatino Linotype" w:hAnsi="Palatino Linotype"/>
          <w:sz w:val="24"/>
          <w:szCs w:val="24"/>
        </w:rPr>
        <w:t>Bias and Neuroscience</w:t>
      </w:r>
    </w:p>
    <w:p w14:paraId="400982DD" w14:textId="77777777" w:rsidR="006A72DE" w:rsidRPr="006A72DE" w:rsidRDefault="006A72DE" w:rsidP="005C7D21">
      <w:pPr>
        <w:ind w:firstLine="720"/>
        <w:rPr>
          <w:rFonts w:ascii="Palatino Linotype" w:hAnsi="Palatino Linotype"/>
          <w:sz w:val="24"/>
          <w:szCs w:val="24"/>
        </w:rPr>
      </w:pPr>
      <w:r w:rsidRPr="006A72DE">
        <w:rPr>
          <w:rFonts w:ascii="Palatino Linotype" w:hAnsi="Palatino Linotype"/>
          <w:sz w:val="24"/>
          <w:szCs w:val="24"/>
        </w:rPr>
        <w:t>This section looks at bias (the H-D model/QRPs) in relation to neuroscience.</w:t>
      </w:r>
    </w:p>
    <w:p w14:paraId="47EE3040" w14:textId="77777777" w:rsidR="006A72DE" w:rsidRPr="006A72DE" w:rsidRDefault="006A72DE" w:rsidP="006A72DE">
      <w:pPr>
        <w:rPr>
          <w:rFonts w:ascii="Palatino Linotype" w:hAnsi="Palatino Linotype"/>
          <w:sz w:val="24"/>
          <w:szCs w:val="24"/>
        </w:rPr>
      </w:pPr>
    </w:p>
    <w:p w14:paraId="17BDEA88" w14:textId="77777777" w:rsidR="006A72DE" w:rsidRPr="006A72DE" w:rsidRDefault="006A72DE" w:rsidP="006A72DE">
      <w:pPr>
        <w:rPr>
          <w:rFonts w:ascii="Palatino Linotype" w:hAnsi="Palatino Linotype"/>
          <w:b/>
          <w:bCs/>
          <w:sz w:val="24"/>
          <w:szCs w:val="24"/>
        </w:rPr>
      </w:pPr>
      <w:r w:rsidRPr="006A72DE">
        <w:rPr>
          <w:rFonts w:ascii="Palatino Linotype" w:hAnsi="Palatino Linotype"/>
          <w:b/>
          <w:bCs/>
          <w:sz w:val="24"/>
          <w:szCs w:val="24"/>
        </w:rPr>
        <w:t>Lack of Replication</w:t>
      </w:r>
    </w:p>
    <w:p w14:paraId="6BDB30BB" w14:textId="3506D2BB" w:rsidR="006A72DE" w:rsidRPr="006A72DE" w:rsidRDefault="006A72DE" w:rsidP="005C7D21">
      <w:pPr>
        <w:ind w:firstLine="720"/>
        <w:rPr>
          <w:rFonts w:ascii="Palatino Linotype" w:hAnsi="Palatino Linotype"/>
          <w:sz w:val="24"/>
          <w:szCs w:val="24"/>
        </w:rPr>
      </w:pPr>
      <w:r w:rsidRPr="006A72DE">
        <w:rPr>
          <w:rFonts w:ascii="Palatino Linotype" w:hAnsi="Palatino Linotype"/>
          <w:sz w:val="24"/>
          <w:szCs w:val="24"/>
        </w:rPr>
        <w:t xml:space="preserve">Reliability is related to replication: if a measure is not consistent, then study results cannot be replicated. Researchers found “a default setting in a software package commonly used to analyze imaging data had a statistical error leading to a vast number </w:t>
      </w:r>
      <w:r w:rsidRPr="006A72DE">
        <w:rPr>
          <w:rFonts w:ascii="Palatino Linotype" w:hAnsi="Palatino Linotype"/>
          <w:sz w:val="24"/>
          <w:szCs w:val="24"/>
        </w:rPr>
        <w:lastRenderedPageBreak/>
        <w:t>of accidental, uncorrected false-positive results, and could have compromised around 10% of all studies that had ever been published on the topic.”</w:t>
      </w:r>
      <w:r w:rsidR="00686823">
        <w:rPr>
          <w:rStyle w:val="FootnoteReference"/>
          <w:rFonts w:ascii="Palatino Linotype" w:hAnsi="Palatino Linotype"/>
          <w:sz w:val="24"/>
          <w:szCs w:val="24"/>
        </w:rPr>
        <w:footnoteReference w:id="114"/>
      </w:r>
      <w:r w:rsidRPr="006A72DE">
        <w:rPr>
          <w:rFonts w:ascii="Palatino Linotype" w:hAnsi="Palatino Linotype"/>
          <w:sz w:val="24"/>
          <w:szCs w:val="24"/>
        </w:rPr>
        <w:t xml:space="preserve"> Another study found differences in measures of cortical grey matter volume from 2.1 percent to 24.9 percent between versions of neuroimaging software.</w:t>
      </w:r>
      <w:r w:rsidR="00686823">
        <w:rPr>
          <w:rStyle w:val="FootnoteReference"/>
          <w:rFonts w:ascii="Palatino Linotype" w:hAnsi="Palatino Linotype"/>
          <w:sz w:val="24"/>
          <w:szCs w:val="24"/>
        </w:rPr>
        <w:footnoteReference w:id="115"/>
      </w:r>
      <w:r w:rsidRPr="006A72DE">
        <w:rPr>
          <w:rFonts w:ascii="Palatino Linotype" w:hAnsi="Palatino Linotype"/>
          <w:sz w:val="24"/>
          <w:szCs w:val="24"/>
        </w:rPr>
        <w:t xml:space="preserve"> A meta-analysis found poor overall reliability and test-retest reliabilities of task-fMRI measures, stating: “Collectively, these findings demonstrate that common task-fMRI measures are not currently suitable for brain biomarker discovery or for individual-differences research.”</w:t>
      </w:r>
      <w:r w:rsidR="00686823">
        <w:rPr>
          <w:rStyle w:val="FootnoteReference"/>
          <w:rFonts w:ascii="Palatino Linotype" w:hAnsi="Palatino Linotype"/>
          <w:sz w:val="24"/>
          <w:szCs w:val="24"/>
        </w:rPr>
        <w:footnoteReference w:id="116"/>
      </w:r>
    </w:p>
    <w:p w14:paraId="1702C127" w14:textId="2295A2F9" w:rsidR="006A72DE" w:rsidRPr="006A72DE" w:rsidRDefault="006A72DE" w:rsidP="00686823">
      <w:pPr>
        <w:rPr>
          <w:rFonts w:ascii="Palatino Linotype" w:hAnsi="Palatino Linotype"/>
          <w:sz w:val="24"/>
          <w:szCs w:val="24"/>
        </w:rPr>
      </w:pPr>
      <w:r w:rsidRPr="006A72DE">
        <w:rPr>
          <w:rFonts w:ascii="Palatino Linotype" w:hAnsi="Palatino Linotype"/>
          <w:sz w:val="24"/>
          <w:szCs w:val="24"/>
        </w:rPr>
        <w:t>There are other studies addressing replicability. One found “brain scans from the same person doing the same thing can be different a week or a month later, which is unexpected.”</w:t>
      </w:r>
      <w:r w:rsidR="00686823">
        <w:rPr>
          <w:rStyle w:val="FootnoteReference"/>
          <w:rFonts w:ascii="Palatino Linotype" w:hAnsi="Palatino Linotype"/>
          <w:sz w:val="24"/>
          <w:szCs w:val="24"/>
        </w:rPr>
        <w:footnoteReference w:id="117"/>
      </w:r>
      <w:r w:rsidR="00686823">
        <w:rPr>
          <w:rFonts w:ascii="Palatino Linotype" w:hAnsi="Palatino Linotype"/>
          <w:sz w:val="24"/>
          <w:szCs w:val="24"/>
        </w:rPr>
        <w:t xml:space="preserve"> </w:t>
      </w:r>
      <w:r w:rsidRPr="006A72DE">
        <w:rPr>
          <w:rFonts w:ascii="Palatino Linotype" w:hAnsi="Palatino Linotype"/>
          <w:sz w:val="24"/>
          <w:szCs w:val="24"/>
        </w:rPr>
        <w:t>A meta-analysis found only modest replicability in task-based fMRI studies due to low sample sizes.</w:t>
      </w:r>
      <w:r w:rsidR="00686823">
        <w:rPr>
          <w:rStyle w:val="FootnoteReference"/>
          <w:rFonts w:ascii="Palatino Linotype" w:hAnsi="Palatino Linotype"/>
          <w:sz w:val="24"/>
          <w:szCs w:val="24"/>
        </w:rPr>
        <w:footnoteReference w:id="118"/>
      </w:r>
      <w:r w:rsidRPr="006A72DE">
        <w:rPr>
          <w:rFonts w:ascii="Palatino Linotype" w:hAnsi="Palatino Linotype"/>
          <w:sz w:val="24"/>
          <w:szCs w:val="24"/>
        </w:rPr>
        <w:t xml:space="preserve"> Other authors also critiqued low replicability due to low sample size.</w:t>
      </w:r>
      <w:r w:rsidR="00686823">
        <w:rPr>
          <w:rStyle w:val="FootnoteReference"/>
          <w:rFonts w:ascii="Palatino Linotype" w:hAnsi="Palatino Linotype"/>
          <w:sz w:val="24"/>
          <w:szCs w:val="24"/>
        </w:rPr>
        <w:footnoteReference w:id="119"/>
      </w:r>
    </w:p>
    <w:p w14:paraId="5FB8B4B5" w14:textId="77777777" w:rsidR="006A72DE" w:rsidRPr="006A72DE" w:rsidRDefault="006A72DE" w:rsidP="006A72DE">
      <w:pPr>
        <w:rPr>
          <w:rFonts w:ascii="Palatino Linotype" w:hAnsi="Palatino Linotype"/>
          <w:sz w:val="24"/>
          <w:szCs w:val="24"/>
        </w:rPr>
      </w:pPr>
    </w:p>
    <w:p w14:paraId="4BF95ECB" w14:textId="77777777" w:rsidR="006A72DE" w:rsidRPr="006A72DE" w:rsidRDefault="006A72DE" w:rsidP="006A72DE">
      <w:pPr>
        <w:rPr>
          <w:rFonts w:ascii="Palatino Linotype" w:hAnsi="Palatino Linotype"/>
          <w:b/>
          <w:bCs/>
          <w:sz w:val="24"/>
          <w:szCs w:val="24"/>
        </w:rPr>
      </w:pPr>
      <w:r w:rsidRPr="006A72DE">
        <w:rPr>
          <w:rFonts w:ascii="Palatino Linotype" w:hAnsi="Palatino Linotype"/>
          <w:b/>
          <w:bCs/>
          <w:sz w:val="24"/>
          <w:szCs w:val="24"/>
        </w:rPr>
        <w:t>Low Statistical Power</w:t>
      </w:r>
    </w:p>
    <w:p w14:paraId="38B65FD2" w14:textId="7C20C27C" w:rsidR="006A72DE" w:rsidRPr="006A72DE" w:rsidRDefault="006A72DE" w:rsidP="00686823">
      <w:pPr>
        <w:ind w:firstLine="720"/>
        <w:rPr>
          <w:rFonts w:ascii="Palatino Linotype" w:hAnsi="Palatino Linotype"/>
          <w:sz w:val="24"/>
          <w:szCs w:val="24"/>
        </w:rPr>
      </w:pPr>
      <w:r w:rsidRPr="006A72DE">
        <w:rPr>
          <w:rFonts w:ascii="Palatino Linotype" w:hAnsi="Palatino Linotype"/>
          <w:sz w:val="24"/>
          <w:szCs w:val="24"/>
        </w:rPr>
        <w:t>Multiple studies have pointed to the low statistical power in neuroscience.</w:t>
      </w:r>
      <w:r w:rsidR="00686823">
        <w:rPr>
          <w:rStyle w:val="FootnoteReference"/>
          <w:rFonts w:ascii="Palatino Linotype" w:hAnsi="Palatino Linotype"/>
          <w:sz w:val="24"/>
          <w:szCs w:val="24"/>
        </w:rPr>
        <w:footnoteReference w:id="120"/>
      </w:r>
      <w:r w:rsidRPr="006A72DE">
        <w:rPr>
          <w:rFonts w:ascii="Palatino Linotype" w:hAnsi="Palatino Linotype"/>
          <w:sz w:val="24"/>
          <w:szCs w:val="24"/>
        </w:rPr>
        <w:t>Katherine Button and colleagues found a median power of only 0.21 in the neurosciences,</w:t>
      </w:r>
      <w:r w:rsidR="00686823">
        <w:rPr>
          <w:rStyle w:val="FootnoteReference"/>
          <w:rFonts w:ascii="Palatino Linotype" w:hAnsi="Palatino Linotype"/>
          <w:sz w:val="24"/>
          <w:szCs w:val="24"/>
        </w:rPr>
        <w:footnoteReference w:id="121"/>
      </w:r>
      <w:r w:rsidRPr="006A72DE">
        <w:rPr>
          <w:rFonts w:ascii="Palatino Linotype" w:hAnsi="Palatino Linotype"/>
          <w:sz w:val="24"/>
          <w:szCs w:val="24"/>
        </w:rPr>
        <w:t xml:space="preserve"> and “the consequences of this include overestimates of effect size and low reproducibility of results.”</w:t>
      </w:r>
      <w:r w:rsidR="00686823">
        <w:rPr>
          <w:rStyle w:val="FootnoteReference"/>
          <w:rFonts w:ascii="Palatino Linotype" w:hAnsi="Palatino Linotype"/>
          <w:sz w:val="24"/>
          <w:szCs w:val="24"/>
        </w:rPr>
        <w:footnoteReference w:id="122"/>
      </w:r>
      <w:r w:rsidRPr="006A72DE">
        <w:rPr>
          <w:rFonts w:ascii="Palatino Linotype" w:hAnsi="Palatino Linotype"/>
          <w:sz w:val="24"/>
          <w:szCs w:val="24"/>
        </w:rPr>
        <w:t xml:space="preserve"> A recent publication evaluating cognitive neuroscience and psychology papers concluded power was lower in cognitive neuroscience than in psychology.</w:t>
      </w:r>
      <w:r w:rsidR="00686823">
        <w:rPr>
          <w:rStyle w:val="FootnoteReference"/>
          <w:rFonts w:ascii="Palatino Linotype" w:hAnsi="Palatino Linotype"/>
          <w:sz w:val="24"/>
          <w:szCs w:val="24"/>
        </w:rPr>
        <w:footnoteReference w:id="123"/>
      </w:r>
    </w:p>
    <w:p w14:paraId="4786DF78" w14:textId="77777777" w:rsidR="006A72DE" w:rsidRPr="006A72DE" w:rsidRDefault="006A72DE" w:rsidP="006A72DE">
      <w:pPr>
        <w:rPr>
          <w:rFonts w:ascii="Palatino Linotype" w:hAnsi="Palatino Linotype"/>
          <w:sz w:val="24"/>
          <w:szCs w:val="24"/>
        </w:rPr>
      </w:pPr>
    </w:p>
    <w:p w14:paraId="1C37D2D1" w14:textId="77777777" w:rsidR="006A72DE" w:rsidRPr="006A72DE" w:rsidRDefault="006A72DE" w:rsidP="006A72DE">
      <w:pPr>
        <w:rPr>
          <w:rFonts w:ascii="Palatino Linotype" w:hAnsi="Palatino Linotype"/>
          <w:b/>
          <w:bCs/>
          <w:sz w:val="24"/>
          <w:szCs w:val="24"/>
        </w:rPr>
      </w:pPr>
      <w:r w:rsidRPr="006A72DE">
        <w:rPr>
          <w:rFonts w:ascii="Palatino Linotype" w:hAnsi="Palatino Linotype"/>
          <w:b/>
          <w:bCs/>
          <w:i/>
          <w:sz w:val="24"/>
          <w:szCs w:val="24"/>
        </w:rPr>
        <w:t>p</w:t>
      </w:r>
      <w:r w:rsidRPr="006A72DE">
        <w:rPr>
          <w:rFonts w:ascii="Palatino Linotype" w:hAnsi="Palatino Linotype"/>
          <w:b/>
          <w:bCs/>
          <w:sz w:val="24"/>
          <w:szCs w:val="24"/>
        </w:rPr>
        <w:t>-hacking</w:t>
      </w:r>
    </w:p>
    <w:p w14:paraId="249F55B3" w14:textId="12184E34" w:rsidR="006A72DE" w:rsidRPr="006A72DE" w:rsidRDefault="006A72DE" w:rsidP="00686823">
      <w:pPr>
        <w:ind w:firstLine="720"/>
        <w:rPr>
          <w:rFonts w:ascii="Palatino Linotype" w:hAnsi="Palatino Linotype"/>
          <w:sz w:val="24"/>
          <w:szCs w:val="24"/>
        </w:rPr>
      </w:pPr>
      <w:r w:rsidRPr="006A72DE">
        <w:rPr>
          <w:rFonts w:ascii="Palatino Linotype" w:hAnsi="Palatino Linotype"/>
          <w:sz w:val="24"/>
          <w:szCs w:val="24"/>
        </w:rPr>
        <w:t xml:space="preserve">Regarding </w:t>
      </w:r>
      <w:r w:rsidRPr="006A72DE">
        <w:rPr>
          <w:rFonts w:ascii="Palatino Linotype" w:hAnsi="Palatino Linotype"/>
          <w:i/>
          <w:sz w:val="24"/>
          <w:szCs w:val="24"/>
        </w:rPr>
        <w:t>p</w:t>
      </w:r>
      <w:r w:rsidRPr="006A72DE">
        <w:rPr>
          <w:rFonts w:ascii="Palatino Linotype" w:hAnsi="Palatino Linotype"/>
          <w:sz w:val="24"/>
          <w:szCs w:val="24"/>
        </w:rPr>
        <w:t xml:space="preserve">-hacking in neuroimaging, “the decision space of even the simplest fMRI study can include hundreds of analysis options, providing ample room for </w:t>
      </w:r>
      <w:r w:rsidRPr="006A72DE">
        <w:rPr>
          <w:rFonts w:ascii="Palatino Linotype" w:hAnsi="Palatino Linotype"/>
          <w:i/>
          <w:sz w:val="24"/>
          <w:szCs w:val="24"/>
        </w:rPr>
        <w:t>p</w:t>
      </w:r>
      <w:r w:rsidRPr="006A72DE">
        <w:rPr>
          <w:rFonts w:ascii="Palatino Linotype" w:hAnsi="Palatino Linotype"/>
          <w:sz w:val="24"/>
          <w:szCs w:val="24"/>
        </w:rPr>
        <w:t xml:space="preserve">-hacking… indirect evidence suggests that </w:t>
      </w:r>
      <w:r w:rsidRPr="006A72DE">
        <w:rPr>
          <w:rFonts w:ascii="Palatino Linotype" w:hAnsi="Palatino Linotype"/>
          <w:i/>
          <w:sz w:val="24"/>
          <w:szCs w:val="24"/>
        </w:rPr>
        <w:t>p</w:t>
      </w:r>
      <w:r w:rsidRPr="006A72DE">
        <w:rPr>
          <w:rFonts w:ascii="Palatino Linotype" w:hAnsi="Palatino Linotype"/>
          <w:sz w:val="24"/>
          <w:szCs w:val="24"/>
        </w:rPr>
        <w:t>-hacking may be just as common in these fields as in psychological science… which presents a serious risk to the validity of both psychology and cognitive neuroscience.”</w:t>
      </w:r>
      <w:r w:rsidR="00686823">
        <w:rPr>
          <w:rStyle w:val="FootnoteReference"/>
          <w:rFonts w:ascii="Palatino Linotype" w:hAnsi="Palatino Linotype"/>
          <w:sz w:val="24"/>
          <w:szCs w:val="24"/>
        </w:rPr>
        <w:footnoteReference w:id="124"/>
      </w:r>
      <w:r w:rsidR="00686823">
        <w:rPr>
          <w:rFonts w:ascii="Palatino Linotype" w:hAnsi="Palatino Linotype"/>
          <w:sz w:val="24"/>
          <w:szCs w:val="24"/>
        </w:rPr>
        <w:t xml:space="preserve"> </w:t>
      </w:r>
      <w:r w:rsidRPr="006A72DE">
        <w:rPr>
          <w:rFonts w:ascii="Palatino Linotype" w:hAnsi="Palatino Linotype"/>
          <w:sz w:val="24"/>
          <w:szCs w:val="24"/>
        </w:rPr>
        <w:t xml:space="preserve">One researcher reported out of 241 randomly selected fMRI studies, 207 used unique analyses, which allows for many defensible options of </w:t>
      </w:r>
      <w:r w:rsidRPr="006A72DE">
        <w:rPr>
          <w:rFonts w:ascii="Palatino Linotype" w:hAnsi="Palatino Linotype"/>
          <w:i/>
          <w:sz w:val="24"/>
          <w:szCs w:val="24"/>
        </w:rPr>
        <w:t>p</w:t>
      </w:r>
      <w:r w:rsidRPr="006A72DE">
        <w:rPr>
          <w:rFonts w:ascii="Palatino Linotype" w:hAnsi="Palatino Linotype"/>
          <w:sz w:val="24"/>
          <w:szCs w:val="24"/>
        </w:rPr>
        <w:t>-hacking.</w:t>
      </w:r>
      <w:r w:rsidR="00686823">
        <w:rPr>
          <w:rStyle w:val="FootnoteReference"/>
          <w:rFonts w:ascii="Palatino Linotype" w:hAnsi="Palatino Linotype"/>
          <w:sz w:val="24"/>
          <w:szCs w:val="24"/>
        </w:rPr>
        <w:footnoteReference w:id="125"/>
      </w:r>
    </w:p>
    <w:p w14:paraId="0FA7693B" w14:textId="77777777" w:rsidR="006A72DE" w:rsidRPr="006A72DE" w:rsidRDefault="006A72DE" w:rsidP="006A72DE">
      <w:pPr>
        <w:rPr>
          <w:rFonts w:ascii="Palatino Linotype" w:hAnsi="Palatino Linotype"/>
          <w:sz w:val="24"/>
          <w:szCs w:val="24"/>
        </w:rPr>
      </w:pPr>
    </w:p>
    <w:p w14:paraId="247CAE90" w14:textId="77777777" w:rsidR="006A72DE" w:rsidRPr="006A72DE" w:rsidRDefault="006A72DE" w:rsidP="006A72DE">
      <w:pPr>
        <w:rPr>
          <w:rFonts w:ascii="Palatino Linotype" w:hAnsi="Palatino Linotype"/>
          <w:b/>
          <w:bCs/>
          <w:sz w:val="24"/>
          <w:szCs w:val="24"/>
        </w:rPr>
      </w:pPr>
      <w:r w:rsidRPr="006A72DE">
        <w:rPr>
          <w:rFonts w:ascii="Palatino Linotype" w:hAnsi="Palatino Linotype"/>
          <w:b/>
          <w:bCs/>
          <w:sz w:val="24"/>
          <w:szCs w:val="24"/>
        </w:rPr>
        <w:t>Publication Bias</w:t>
      </w:r>
    </w:p>
    <w:p w14:paraId="202788DA" w14:textId="1D232D18" w:rsidR="006A72DE" w:rsidRPr="006A72DE" w:rsidRDefault="006A72DE" w:rsidP="00F84651">
      <w:pPr>
        <w:ind w:firstLine="720"/>
        <w:rPr>
          <w:rFonts w:ascii="Palatino Linotype" w:hAnsi="Palatino Linotype"/>
          <w:sz w:val="24"/>
          <w:szCs w:val="24"/>
        </w:rPr>
      </w:pPr>
      <w:r w:rsidRPr="006A72DE">
        <w:rPr>
          <w:rFonts w:ascii="Palatino Linotype" w:hAnsi="Palatino Linotype"/>
          <w:sz w:val="24"/>
          <w:szCs w:val="24"/>
        </w:rPr>
        <w:t>The first meta-analysis addressing publication bias in neuroimaging reviewed 74 studies, identifying evidence for publication bias. The authors wrote, “we believe our findings generalize to the brain imaging literature as a whole and databases seeking to curate their collective results. While neuroimaging databases of summary effects are of enormous value to</w:t>
      </w:r>
      <w:r>
        <w:rPr>
          <w:rFonts w:ascii="Palatino Linotype" w:hAnsi="Palatino Linotype"/>
          <w:sz w:val="24"/>
          <w:szCs w:val="24"/>
        </w:rPr>
        <w:t xml:space="preserve"> </w:t>
      </w:r>
      <w:r w:rsidRPr="006A72DE">
        <w:rPr>
          <w:rFonts w:ascii="Palatino Linotype" w:hAnsi="Palatino Linotype"/>
          <w:sz w:val="24"/>
          <w:szCs w:val="24"/>
        </w:rPr>
        <w:t>the community, the potential publication bias should be considered when performing meta-analyses based on database contents.”</w:t>
      </w:r>
      <w:r w:rsidR="00F84651">
        <w:rPr>
          <w:rStyle w:val="FootnoteReference"/>
          <w:rFonts w:ascii="Palatino Linotype" w:hAnsi="Palatino Linotype"/>
          <w:sz w:val="24"/>
          <w:szCs w:val="24"/>
        </w:rPr>
        <w:footnoteReference w:id="126"/>
      </w:r>
    </w:p>
    <w:p w14:paraId="27B9DA27" w14:textId="77777777" w:rsidR="006A72DE" w:rsidRPr="006A72DE" w:rsidRDefault="006A72DE" w:rsidP="006A72DE">
      <w:pPr>
        <w:rPr>
          <w:rFonts w:ascii="Palatino Linotype" w:hAnsi="Palatino Linotype"/>
          <w:sz w:val="24"/>
          <w:szCs w:val="24"/>
        </w:rPr>
      </w:pPr>
    </w:p>
    <w:p w14:paraId="1FF2E489" w14:textId="77777777" w:rsidR="006A72DE" w:rsidRPr="006A72DE" w:rsidRDefault="006A72DE" w:rsidP="006A72DE">
      <w:pPr>
        <w:rPr>
          <w:rFonts w:ascii="Palatino Linotype" w:hAnsi="Palatino Linotype"/>
          <w:b/>
          <w:bCs/>
          <w:sz w:val="24"/>
          <w:szCs w:val="24"/>
        </w:rPr>
      </w:pPr>
      <w:r w:rsidRPr="006A72DE">
        <w:rPr>
          <w:rFonts w:ascii="Palatino Linotype" w:hAnsi="Palatino Linotype"/>
          <w:b/>
          <w:bCs/>
          <w:sz w:val="24"/>
          <w:szCs w:val="24"/>
        </w:rPr>
        <w:t>Lack of Data Sharing</w:t>
      </w:r>
    </w:p>
    <w:p w14:paraId="4436117E" w14:textId="6126ACE5" w:rsidR="006A72DE" w:rsidRPr="006A72DE" w:rsidRDefault="006A72DE" w:rsidP="006A72DE">
      <w:pPr>
        <w:rPr>
          <w:rFonts w:ascii="Palatino Linotype" w:hAnsi="Palatino Linotype"/>
          <w:sz w:val="24"/>
          <w:szCs w:val="24"/>
        </w:rPr>
      </w:pPr>
      <w:r w:rsidRPr="006A72DE">
        <w:rPr>
          <w:rFonts w:ascii="Palatino Linotype" w:hAnsi="Palatino Linotype"/>
          <w:sz w:val="24"/>
          <w:szCs w:val="24"/>
        </w:rPr>
        <w:t>Neuroscience has identified the importance of</w:t>
      </w:r>
      <w:r w:rsidR="00F84651">
        <w:rPr>
          <w:rStyle w:val="FootnoteReference"/>
          <w:rFonts w:ascii="Palatino Linotype" w:hAnsi="Palatino Linotype"/>
          <w:sz w:val="24"/>
          <w:szCs w:val="24"/>
        </w:rPr>
        <w:footnoteReference w:id="127"/>
      </w:r>
      <w:r w:rsidRPr="006A72DE">
        <w:rPr>
          <w:rFonts w:ascii="Palatino Linotype" w:hAnsi="Palatino Linotype"/>
          <w:sz w:val="24"/>
          <w:szCs w:val="24"/>
        </w:rPr>
        <w:t xml:space="preserve"> and made attempts to share data in order to facilitate meta-analyses.</w:t>
      </w:r>
      <w:r w:rsidR="00F84651">
        <w:rPr>
          <w:rStyle w:val="FootnoteReference"/>
          <w:rFonts w:ascii="Palatino Linotype" w:hAnsi="Palatino Linotype"/>
          <w:sz w:val="24"/>
          <w:szCs w:val="24"/>
        </w:rPr>
        <w:footnoteReference w:id="128"/>
      </w:r>
      <w:r w:rsidRPr="006A72DE">
        <w:rPr>
          <w:rFonts w:ascii="Palatino Linotype" w:hAnsi="Palatino Linotype"/>
          <w:sz w:val="24"/>
          <w:szCs w:val="24"/>
        </w:rPr>
        <w:t xml:space="preserve"> John A. Borghi and Ana E. Van Gulick identified difficulties that complicate data sharing: “neuroimaging data is acquired in multifarious forms, transformed and analyzed using a wide variety of software tools, and that RDM [research data management] practices and perceptions vary considerably both within and between research groups, with trainees reporting less consistency than faculty.”</w:t>
      </w:r>
      <w:r w:rsidR="00F84651">
        <w:rPr>
          <w:rStyle w:val="FootnoteReference"/>
          <w:rFonts w:ascii="Palatino Linotype" w:hAnsi="Palatino Linotype"/>
          <w:sz w:val="24"/>
          <w:szCs w:val="24"/>
        </w:rPr>
        <w:footnoteReference w:id="129"/>
      </w:r>
    </w:p>
    <w:p w14:paraId="6949F1AD" w14:textId="77777777" w:rsidR="006A72DE" w:rsidRPr="006A72DE" w:rsidRDefault="006A72DE" w:rsidP="006A72DE">
      <w:pPr>
        <w:rPr>
          <w:rFonts w:ascii="Palatino Linotype" w:hAnsi="Palatino Linotype"/>
          <w:sz w:val="24"/>
          <w:szCs w:val="24"/>
        </w:rPr>
      </w:pPr>
    </w:p>
    <w:p w14:paraId="54C9710F" w14:textId="77777777" w:rsidR="006A72DE" w:rsidRPr="006A72DE" w:rsidRDefault="006A72DE" w:rsidP="006A72DE">
      <w:pPr>
        <w:rPr>
          <w:rFonts w:ascii="Palatino Linotype" w:hAnsi="Palatino Linotype"/>
          <w:sz w:val="24"/>
          <w:szCs w:val="24"/>
        </w:rPr>
      </w:pPr>
      <w:r w:rsidRPr="006A72DE">
        <w:rPr>
          <w:rFonts w:ascii="Palatino Linotype" w:hAnsi="Palatino Linotype"/>
          <w:sz w:val="24"/>
          <w:szCs w:val="24"/>
        </w:rPr>
        <w:t>There is clear evidence for bias and QRPs in neuroscience.</w:t>
      </w:r>
    </w:p>
    <w:p w14:paraId="4F0325EA" w14:textId="77777777" w:rsidR="006A72DE" w:rsidRPr="006A72DE" w:rsidRDefault="006A72DE" w:rsidP="006A72DE">
      <w:pPr>
        <w:rPr>
          <w:rFonts w:ascii="Palatino Linotype" w:hAnsi="Palatino Linotype"/>
          <w:sz w:val="24"/>
          <w:szCs w:val="24"/>
        </w:rPr>
      </w:pPr>
    </w:p>
    <w:p w14:paraId="46D25734" w14:textId="77777777" w:rsidR="006A72DE" w:rsidRPr="006A72DE" w:rsidRDefault="006A72DE" w:rsidP="006A72DE">
      <w:pPr>
        <w:rPr>
          <w:rFonts w:ascii="Palatino Linotype" w:hAnsi="Palatino Linotype"/>
          <w:sz w:val="24"/>
          <w:szCs w:val="24"/>
        </w:rPr>
      </w:pPr>
    </w:p>
    <w:p w14:paraId="0E682D87" w14:textId="77777777" w:rsidR="006A72DE" w:rsidRPr="006A72DE" w:rsidRDefault="006A72DE" w:rsidP="00B45055">
      <w:pPr>
        <w:jc w:val="center"/>
        <w:rPr>
          <w:rFonts w:ascii="Palatino Linotype" w:hAnsi="Palatino Linotype"/>
          <w:sz w:val="24"/>
          <w:szCs w:val="24"/>
        </w:rPr>
      </w:pPr>
      <w:r w:rsidRPr="006A72DE">
        <w:rPr>
          <w:rFonts w:ascii="Palatino Linotype" w:hAnsi="Palatino Linotype"/>
          <w:sz w:val="24"/>
          <w:szCs w:val="24"/>
        </w:rPr>
        <w:lastRenderedPageBreak/>
        <w:t>Hype and Neuroscience: SANE</w:t>
      </w:r>
    </w:p>
    <w:p w14:paraId="3D292296" w14:textId="77777777" w:rsidR="00B45055" w:rsidRDefault="00B45055" w:rsidP="00B45055">
      <w:pPr>
        <w:ind w:firstLine="720"/>
        <w:rPr>
          <w:rFonts w:ascii="Palatino Linotype" w:hAnsi="Palatino Linotype"/>
          <w:sz w:val="24"/>
          <w:szCs w:val="24"/>
        </w:rPr>
      </w:pPr>
    </w:p>
    <w:p w14:paraId="4DA73A08" w14:textId="7FE018D9" w:rsidR="006A72DE" w:rsidRDefault="006A72DE" w:rsidP="00B45055">
      <w:pPr>
        <w:ind w:firstLine="720"/>
        <w:rPr>
          <w:rFonts w:ascii="Palatino Linotype" w:hAnsi="Palatino Linotype"/>
          <w:sz w:val="24"/>
          <w:szCs w:val="24"/>
        </w:rPr>
      </w:pPr>
      <w:r w:rsidRPr="006A72DE">
        <w:rPr>
          <w:rFonts w:ascii="Palatino Linotype" w:hAnsi="Palatino Linotype"/>
          <w:sz w:val="24"/>
          <w:szCs w:val="24"/>
        </w:rPr>
        <w:t>The “seductive allure of neuroscience explanations” (SANE)</w:t>
      </w:r>
      <w:r w:rsidR="00F84651">
        <w:rPr>
          <w:rStyle w:val="FootnoteReference"/>
          <w:rFonts w:ascii="Palatino Linotype" w:hAnsi="Palatino Linotype"/>
          <w:sz w:val="24"/>
          <w:szCs w:val="24"/>
        </w:rPr>
        <w:footnoteReference w:id="130"/>
      </w:r>
      <w:r w:rsidRPr="006A72DE">
        <w:rPr>
          <w:rFonts w:ascii="Palatino Linotype" w:hAnsi="Palatino Linotype"/>
          <w:sz w:val="24"/>
          <w:szCs w:val="24"/>
        </w:rPr>
        <w:t xml:space="preserve"> refers to “the phenomenon, observed in past research findings, that people show greater trust in studies with neuroscience language, graphs, and especially brain images.”</w:t>
      </w:r>
      <w:r w:rsidR="00B45055">
        <w:rPr>
          <w:rStyle w:val="FootnoteReference"/>
          <w:rFonts w:ascii="Palatino Linotype" w:hAnsi="Palatino Linotype"/>
          <w:sz w:val="24"/>
          <w:szCs w:val="24"/>
        </w:rPr>
        <w:footnoteReference w:id="131"/>
      </w:r>
      <w:r w:rsidRPr="006A72DE">
        <w:rPr>
          <w:rFonts w:ascii="Palatino Linotype" w:hAnsi="Palatino Linotype"/>
          <w:sz w:val="24"/>
          <w:szCs w:val="24"/>
        </w:rPr>
        <w:t xml:space="preserve"> Examples include “Neuroscientific Information Bias in Metacomprehension: The Effect of Brain Images on Metacomprehension Judgment of Neuroscience Research,”</w:t>
      </w:r>
      <w:r w:rsidR="00B45055">
        <w:rPr>
          <w:rStyle w:val="FootnoteReference"/>
          <w:rFonts w:ascii="Palatino Linotype" w:hAnsi="Palatino Linotype"/>
          <w:sz w:val="24"/>
          <w:szCs w:val="24"/>
        </w:rPr>
        <w:footnoteReference w:id="132"/>
      </w:r>
      <w:r w:rsidRPr="006A72DE">
        <w:rPr>
          <w:rFonts w:ascii="Palatino Linotype" w:hAnsi="Palatino Linotype"/>
          <w:sz w:val="24"/>
          <w:szCs w:val="24"/>
        </w:rPr>
        <w:t xml:space="preserve"> “Empirical Neuroenchantment,”</w:t>
      </w:r>
      <w:r w:rsidR="00B45055">
        <w:rPr>
          <w:rStyle w:val="FootnoteReference"/>
          <w:rFonts w:ascii="Palatino Linotype" w:hAnsi="Palatino Linotype"/>
          <w:sz w:val="24"/>
          <w:szCs w:val="24"/>
        </w:rPr>
        <w:footnoteReference w:id="133"/>
      </w:r>
      <w:r w:rsidRPr="006A72DE">
        <w:rPr>
          <w:rFonts w:ascii="Palatino Linotype" w:hAnsi="Palatino Linotype"/>
          <w:sz w:val="24"/>
          <w:szCs w:val="24"/>
        </w:rPr>
        <w:t xml:space="preserve"> and “Superfluous Neuroscience Information Makes Explanations of Psychological Phenomena More Appealing.”</w:t>
      </w:r>
      <w:r w:rsidR="00844B68">
        <w:rPr>
          <w:rStyle w:val="FootnoteReference"/>
          <w:rFonts w:ascii="Palatino Linotype" w:hAnsi="Palatino Linotype"/>
          <w:sz w:val="24"/>
          <w:szCs w:val="24"/>
        </w:rPr>
        <w:footnoteReference w:id="134"/>
      </w:r>
      <w:r w:rsidRPr="006A72DE">
        <w:rPr>
          <w:rFonts w:ascii="Palatino Linotype" w:hAnsi="Palatino Linotype"/>
          <w:sz w:val="24"/>
          <w:szCs w:val="24"/>
        </w:rPr>
        <w:t xml:space="preserve"> One study concluded:</w:t>
      </w:r>
    </w:p>
    <w:p w14:paraId="58F590C8" w14:textId="77777777" w:rsidR="00B45055" w:rsidRPr="006A72DE" w:rsidRDefault="00B45055" w:rsidP="00B45055">
      <w:pPr>
        <w:ind w:firstLine="720"/>
        <w:rPr>
          <w:rFonts w:ascii="Palatino Linotype" w:hAnsi="Palatino Linotype"/>
          <w:sz w:val="24"/>
          <w:szCs w:val="24"/>
        </w:rPr>
      </w:pPr>
    </w:p>
    <w:p w14:paraId="7F406463" w14:textId="022D3DC6" w:rsidR="006A72DE" w:rsidRPr="00B45055" w:rsidRDefault="006A72DE" w:rsidP="00B45055">
      <w:pPr>
        <w:ind w:left="720"/>
        <w:rPr>
          <w:rFonts w:ascii="Palatino Linotype" w:hAnsi="Palatino Linotype"/>
          <w:sz w:val="24"/>
          <w:szCs w:val="24"/>
        </w:rPr>
      </w:pPr>
      <w:r w:rsidRPr="006A72DE">
        <w:rPr>
          <w:rFonts w:ascii="Palatino Linotype" w:hAnsi="Palatino Linotype"/>
          <w:sz w:val="24"/>
          <w:szCs w:val="24"/>
        </w:rPr>
        <w:t>We found that neuroscience information, even though irrelevant, made people believe they had a better understanding of the mechanism underlying a behaviora</w:t>
      </w:r>
      <w:r w:rsidR="00B45055">
        <w:rPr>
          <w:rFonts w:ascii="Palatino Linotype" w:hAnsi="Palatino Linotype"/>
          <w:sz w:val="24"/>
          <w:szCs w:val="24"/>
        </w:rPr>
        <w:t>l</w:t>
      </w:r>
      <w:r>
        <w:rPr>
          <w:rFonts w:ascii="Palatino Linotype" w:hAnsi="Palatino Linotype"/>
          <w:sz w:val="24"/>
          <w:szCs w:val="24"/>
        </w:rPr>
        <w:t xml:space="preserve"> </w:t>
      </w:r>
      <w:r w:rsidRPr="006A72DE">
        <w:rPr>
          <w:rFonts w:ascii="Palatino Linotype" w:hAnsi="Palatino Linotype"/>
        </w:rPr>
        <w:t>phenomenon. Neuroscience information had a smaller effect on ratings of article quality and scientist quality. Our study suggests that neuroscience information may provide an illusion of explanatory depth.</w:t>
      </w:r>
      <w:r w:rsidR="0095125B">
        <w:rPr>
          <w:rStyle w:val="FootnoteReference"/>
          <w:rFonts w:ascii="Palatino Linotype" w:hAnsi="Palatino Linotype"/>
        </w:rPr>
        <w:footnoteReference w:id="135"/>
      </w:r>
    </w:p>
    <w:p w14:paraId="022C19E2" w14:textId="77777777" w:rsidR="00B45055" w:rsidRDefault="00B45055" w:rsidP="006A72DE">
      <w:pPr>
        <w:rPr>
          <w:rFonts w:ascii="Palatino Linotype" w:hAnsi="Palatino Linotype"/>
          <w:sz w:val="24"/>
          <w:szCs w:val="24"/>
        </w:rPr>
      </w:pPr>
    </w:p>
    <w:p w14:paraId="64582B70" w14:textId="2EC6EFFE" w:rsidR="006A72DE" w:rsidRPr="006A72DE" w:rsidRDefault="006A72DE" w:rsidP="0095125B">
      <w:pPr>
        <w:ind w:firstLine="720"/>
        <w:rPr>
          <w:rFonts w:ascii="Palatino Linotype" w:hAnsi="Palatino Linotype"/>
          <w:sz w:val="24"/>
          <w:szCs w:val="24"/>
        </w:rPr>
      </w:pPr>
      <w:r w:rsidRPr="006A72DE">
        <w:rPr>
          <w:rFonts w:ascii="Palatino Linotype" w:hAnsi="Palatino Linotype"/>
          <w:sz w:val="24"/>
          <w:szCs w:val="24"/>
        </w:rPr>
        <w:t>Some studies have found divergent evidence.</w:t>
      </w:r>
      <w:r w:rsidR="0095125B">
        <w:rPr>
          <w:rStyle w:val="FootnoteReference"/>
          <w:rFonts w:ascii="Palatino Linotype" w:hAnsi="Palatino Linotype"/>
          <w:sz w:val="24"/>
          <w:szCs w:val="24"/>
        </w:rPr>
        <w:footnoteReference w:id="136"/>
      </w:r>
    </w:p>
    <w:p w14:paraId="6CCF4C8D" w14:textId="77777777" w:rsidR="0095125B" w:rsidRDefault="0095125B" w:rsidP="0095125B">
      <w:pPr>
        <w:ind w:firstLine="720"/>
        <w:rPr>
          <w:rFonts w:ascii="Palatino Linotype" w:hAnsi="Palatino Linotype"/>
          <w:sz w:val="24"/>
          <w:szCs w:val="24"/>
        </w:rPr>
      </w:pPr>
    </w:p>
    <w:p w14:paraId="25876319" w14:textId="38C48207" w:rsidR="006A72DE" w:rsidRPr="006A72DE" w:rsidRDefault="006A72DE" w:rsidP="0095125B">
      <w:pPr>
        <w:ind w:firstLine="720"/>
        <w:rPr>
          <w:rFonts w:ascii="Palatino Linotype" w:hAnsi="Palatino Linotype"/>
          <w:sz w:val="24"/>
          <w:szCs w:val="24"/>
        </w:rPr>
      </w:pPr>
      <w:r w:rsidRPr="006A72DE">
        <w:rPr>
          <w:rFonts w:ascii="Palatino Linotype" w:hAnsi="Palatino Linotype"/>
          <w:sz w:val="24"/>
          <w:szCs w:val="24"/>
        </w:rPr>
        <w:t xml:space="preserve">Sally Satel and Scott Lilienfield, neuroscientists and authors of </w:t>
      </w:r>
      <w:r w:rsidRPr="006A72DE">
        <w:rPr>
          <w:rFonts w:ascii="Palatino Linotype" w:hAnsi="Palatino Linotype"/>
          <w:i/>
          <w:sz w:val="24"/>
          <w:szCs w:val="24"/>
        </w:rPr>
        <w:t xml:space="preserve">Brainwashed: The Seductive Appeal of Mindless Neuroscience, </w:t>
      </w:r>
      <w:r w:rsidRPr="006A72DE">
        <w:rPr>
          <w:rFonts w:ascii="Palatino Linotype" w:hAnsi="Palatino Linotype"/>
          <w:sz w:val="24"/>
          <w:szCs w:val="24"/>
        </w:rPr>
        <w:t xml:space="preserve">remind us that neuroimaging is young and “to regard research findings as settled wisdom is folly, especially when they emanate from a technology whose implications are still poorly understood. As any good scientist </w:t>
      </w:r>
      <w:r w:rsidRPr="006A72DE">
        <w:rPr>
          <w:rFonts w:ascii="Palatino Linotype" w:hAnsi="Palatino Linotype"/>
          <w:sz w:val="24"/>
          <w:szCs w:val="24"/>
        </w:rPr>
        <w:lastRenderedPageBreak/>
        <w:t>knows, there will always be questions to hone, theories to refine, and techniques to perfect.”</w:t>
      </w:r>
      <w:r w:rsidR="00A172AD">
        <w:rPr>
          <w:rStyle w:val="FootnoteReference"/>
          <w:rFonts w:ascii="Palatino Linotype" w:hAnsi="Palatino Linotype"/>
          <w:sz w:val="24"/>
          <w:szCs w:val="24"/>
        </w:rPr>
        <w:footnoteReference w:id="137"/>
      </w:r>
      <w:r w:rsidRPr="006A72DE">
        <w:rPr>
          <w:rFonts w:ascii="Palatino Linotype" w:hAnsi="Palatino Linotype"/>
          <w:sz w:val="24"/>
          <w:szCs w:val="24"/>
        </w:rPr>
        <w:t xml:space="preserve"> Furthermore, neuroscience itself is not the problem, but it is “vulnerable to being oversold by the media, some overzealous scientists, and neuro entrepreneurs who tout facile conclusions that reach far beyond what the current evidence warrants - fits of ‘premature extrapolation.’”</w:t>
      </w:r>
      <w:r w:rsidR="00A172AD">
        <w:rPr>
          <w:rStyle w:val="FootnoteReference"/>
          <w:rFonts w:ascii="Palatino Linotype" w:hAnsi="Palatino Linotype"/>
          <w:sz w:val="24"/>
          <w:szCs w:val="24"/>
        </w:rPr>
        <w:footnoteReference w:id="138"/>
      </w:r>
    </w:p>
    <w:p w14:paraId="31D2782E" w14:textId="77777777" w:rsidR="0095125B" w:rsidRDefault="0095125B" w:rsidP="0095125B">
      <w:pPr>
        <w:ind w:firstLine="720"/>
        <w:rPr>
          <w:rFonts w:ascii="Palatino Linotype" w:hAnsi="Palatino Linotype"/>
          <w:sz w:val="24"/>
          <w:szCs w:val="24"/>
        </w:rPr>
      </w:pPr>
    </w:p>
    <w:p w14:paraId="2A59F9E3" w14:textId="0EE3DDA4" w:rsidR="006A72DE" w:rsidRPr="006A72DE" w:rsidRDefault="006A72DE" w:rsidP="00703D1F">
      <w:pPr>
        <w:ind w:firstLine="720"/>
        <w:rPr>
          <w:rFonts w:ascii="Palatino Linotype" w:hAnsi="Palatino Linotype"/>
          <w:sz w:val="24"/>
          <w:szCs w:val="24"/>
        </w:rPr>
      </w:pPr>
      <w:r w:rsidRPr="006A72DE">
        <w:rPr>
          <w:rFonts w:ascii="Palatino Linotype" w:hAnsi="Palatino Linotype"/>
          <w:sz w:val="24"/>
          <w:szCs w:val="24"/>
        </w:rPr>
        <w:t>Satel and Lilienfield coined the term “neurocentrism - the view that human experience and behavior can be best explained from the predominant or even exclusive perspective of the brain. From this popular vantage point, the study of the brain is somehow more ‘scientific’ than the study of human motives, thoughts, feelings, and actions.”</w:t>
      </w:r>
      <w:r w:rsidR="00A172AD" w:rsidRPr="00703D1F">
        <w:rPr>
          <w:rStyle w:val="FootnoteReference"/>
          <w:rFonts w:ascii="Palatino Linotype" w:hAnsi="Palatino Linotype"/>
          <w:sz w:val="24"/>
          <w:szCs w:val="24"/>
        </w:rPr>
        <w:footnoteReference w:id="139"/>
      </w:r>
      <w:r w:rsidRPr="006A72DE">
        <w:rPr>
          <w:rFonts w:ascii="Palatino Linotype" w:hAnsi="Palatino Linotype"/>
          <w:sz w:val="24"/>
          <w:szCs w:val="24"/>
        </w:rPr>
        <w:t xml:space="preserve"> Other neuroscientists also warn against reductionism.</w:t>
      </w:r>
      <w:r w:rsidR="00A172AD" w:rsidRPr="00703D1F">
        <w:rPr>
          <w:rStyle w:val="FootnoteReference"/>
          <w:rFonts w:ascii="Palatino Linotype" w:hAnsi="Palatino Linotype"/>
          <w:sz w:val="24"/>
          <w:szCs w:val="24"/>
        </w:rPr>
        <w:footnoteReference w:id="140"/>
      </w:r>
    </w:p>
    <w:p w14:paraId="58D45613" w14:textId="77777777" w:rsidR="006A72DE" w:rsidRPr="006A72DE" w:rsidRDefault="006A72DE" w:rsidP="00703D1F">
      <w:pPr>
        <w:jc w:val="center"/>
        <w:rPr>
          <w:rFonts w:ascii="Palatino Linotype" w:hAnsi="Palatino Linotype"/>
          <w:sz w:val="24"/>
          <w:szCs w:val="24"/>
        </w:rPr>
      </w:pPr>
    </w:p>
    <w:p w14:paraId="64F70439" w14:textId="77777777" w:rsidR="006A72DE" w:rsidRPr="006A72DE" w:rsidRDefault="006A72DE" w:rsidP="00703D1F">
      <w:pPr>
        <w:jc w:val="center"/>
        <w:rPr>
          <w:rFonts w:ascii="Palatino Linotype" w:hAnsi="Palatino Linotype"/>
          <w:sz w:val="24"/>
          <w:szCs w:val="24"/>
        </w:rPr>
      </w:pPr>
      <w:r w:rsidRPr="006A72DE">
        <w:rPr>
          <w:rFonts w:ascii="Palatino Linotype" w:hAnsi="Palatino Linotype"/>
          <w:sz w:val="24"/>
          <w:szCs w:val="24"/>
        </w:rPr>
        <w:t>Neuroscience Applications</w:t>
      </w:r>
    </w:p>
    <w:p w14:paraId="01FEA0AE" w14:textId="4E82E9AD" w:rsidR="006A72DE" w:rsidRPr="00703D1F" w:rsidRDefault="006A72DE" w:rsidP="00703D1F">
      <w:pPr>
        <w:ind w:firstLine="720"/>
        <w:rPr>
          <w:rFonts w:ascii="Palatino Linotype" w:hAnsi="Palatino Linotype"/>
          <w:sz w:val="24"/>
          <w:szCs w:val="24"/>
        </w:rPr>
      </w:pPr>
      <w:r w:rsidRPr="006A72DE">
        <w:rPr>
          <w:rFonts w:ascii="Palatino Linotype" w:hAnsi="Palatino Linotype"/>
          <w:sz w:val="24"/>
          <w:szCs w:val="24"/>
        </w:rPr>
        <w:t>By no means is neuroscience useless. Current neuroscience applications include: pre-surgical planning for neurosurgeons to map the language and motor regions of the brain to minimize damage to these functionally important areas while removing a tumor, blood clot, or</w:t>
      </w:r>
      <w:r w:rsidRPr="00703D1F">
        <w:rPr>
          <w:rFonts w:ascii="Palatino Linotype" w:hAnsi="Palatino Linotype"/>
          <w:sz w:val="24"/>
          <w:szCs w:val="24"/>
        </w:rPr>
        <w:t xml:space="preserve"> </w:t>
      </w:r>
      <w:r w:rsidRPr="00703D1F">
        <w:rPr>
          <w:rFonts w:ascii="Palatino Linotype" w:hAnsi="Palatino Linotype"/>
          <w:sz w:val="24"/>
          <w:szCs w:val="24"/>
        </w:rPr>
        <w:t>epileptic tissue; ascertaining stroke damage; following the course of Alzheimer’s disease and epilepsy; and determining brain maturity.</w:t>
      </w:r>
      <w:r w:rsidR="00133E5C">
        <w:rPr>
          <w:rStyle w:val="FootnoteReference"/>
          <w:rFonts w:ascii="Palatino Linotype" w:hAnsi="Palatino Linotype"/>
          <w:sz w:val="24"/>
          <w:szCs w:val="24"/>
        </w:rPr>
        <w:footnoteReference w:id="141"/>
      </w:r>
    </w:p>
    <w:p w14:paraId="2066ED35" w14:textId="77777777" w:rsidR="006A72DE" w:rsidRPr="006A72DE" w:rsidRDefault="006A72DE" w:rsidP="006A72DE">
      <w:pPr>
        <w:rPr>
          <w:rFonts w:ascii="Palatino Linotype" w:hAnsi="Palatino Linotype"/>
          <w:sz w:val="24"/>
          <w:szCs w:val="24"/>
        </w:rPr>
      </w:pPr>
    </w:p>
    <w:p w14:paraId="27A6D45D" w14:textId="77777777" w:rsidR="006A72DE" w:rsidRPr="006A72DE" w:rsidRDefault="006A72DE" w:rsidP="006A72DE">
      <w:pPr>
        <w:rPr>
          <w:rFonts w:ascii="Palatino Linotype" w:hAnsi="Palatino Linotype"/>
          <w:sz w:val="24"/>
          <w:szCs w:val="24"/>
        </w:rPr>
      </w:pPr>
    </w:p>
    <w:p w14:paraId="462DB08D" w14:textId="77777777" w:rsidR="006A72DE" w:rsidRPr="006A72DE" w:rsidRDefault="006A72DE" w:rsidP="00133E5C">
      <w:pPr>
        <w:jc w:val="center"/>
        <w:rPr>
          <w:rFonts w:ascii="Palatino Linotype" w:hAnsi="Palatino Linotype"/>
          <w:b/>
          <w:bCs/>
          <w:sz w:val="24"/>
          <w:szCs w:val="24"/>
        </w:rPr>
      </w:pPr>
      <w:r w:rsidRPr="006A72DE">
        <w:rPr>
          <w:rFonts w:ascii="Palatino Linotype" w:hAnsi="Palatino Linotype"/>
          <w:b/>
          <w:bCs/>
          <w:sz w:val="24"/>
          <w:szCs w:val="24"/>
        </w:rPr>
        <w:t>A Seminar/Training in the Modern Psychotherapies</w:t>
      </w:r>
    </w:p>
    <w:p w14:paraId="61DAF6F9" w14:textId="6C993426" w:rsidR="006A72DE" w:rsidRPr="006A72DE" w:rsidRDefault="006A72DE" w:rsidP="00133E5C">
      <w:pPr>
        <w:ind w:firstLine="720"/>
        <w:rPr>
          <w:rFonts w:ascii="Palatino Linotype" w:hAnsi="Palatino Linotype"/>
          <w:sz w:val="24"/>
          <w:szCs w:val="24"/>
        </w:rPr>
      </w:pPr>
      <w:r w:rsidRPr="006A72DE">
        <w:rPr>
          <w:rFonts w:ascii="Palatino Linotype" w:hAnsi="Palatino Linotype"/>
          <w:sz w:val="24"/>
          <w:szCs w:val="24"/>
        </w:rPr>
        <w:t>A movement in the modern psychotherapies is “evidence-based practice in psychology” (EBPP), “the integration of the best available research with clinical expertise in the context of patient characteristics, culture, and preferences.”</w:t>
      </w:r>
      <w:r w:rsidR="00133E5C">
        <w:rPr>
          <w:rStyle w:val="FootnoteReference"/>
          <w:rFonts w:ascii="Palatino Linotype" w:hAnsi="Palatino Linotype"/>
          <w:sz w:val="24"/>
          <w:szCs w:val="24"/>
        </w:rPr>
        <w:footnoteReference w:id="142"/>
      </w:r>
      <w:r w:rsidRPr="006A72DE">
        <w:rPr>
          <w:rFonts w:ascii="Palatino Linotype" w:hAnsi="Palatino Linotype"/>
          <w:sz w:val="24"/>
          <w:szCs w:val="24"/>
        </w:rPr>
        <w:t xml:space="preserve"> Some insurances companies are starting to require the use of EBPPs. Thus, current trainings tend to begin with a well-spoken individual presenting slick graphs of research results.</w:t>
      </w:r>
      <w:r w:rsidR="00133E5C">
        <w:rPr>
          <w:rStyle w:val="FootnoteReference"/>
          <w:rFonts w:ascii="Palatino Linotype" w:hAnsi="Palatino Linotype"/>
          <w:sz w:val="24"/>
          <w:szCs w:val="24"/>
        </w:rPr>
        <w:footnoteReference w:id="143"/>
      </w:r>
    </w:p>
    <w:p w14:paraId="42663F9F" w14:textId="77777777" w:rsidR="00133E5C" w:rsidRDefault="00133E5C" w:rsidP="00133E5C">
      <w:pPr>
        <w:ind w:firstLine="720"/>
        <w:rPr>
          <w:rFonts w:ascii="Palatino Linotype" w:hAnsi="Palatino Linotype"/>
          <w:sz w:val="24"/>
          <w:szCs w:val="24"/>
        </w:rPr>
      </w:pPr>
    </w:p>
    <w:p w14:paraId="2841A1EC" w14:textId="6DC4630C" w:rsidR="006A72DE" w:rsidRPr="006A72DE" w:rsidRDefault="006A72DE" w:rsidP="00133E5C">
      <w:pPr>
        <w:ind w:firstLine="720"/>
        <w:rPr>
          <w:rFonts w:ascii="Palatino Linotype" w:hAnsi="Palatino Linotype"/>
          <w:sz w:val="24"/>
          <w:szCs w:val="24"/>
        </w:rPr>
      </w:pPr>
      <w:r w:rsidRPr="006A72DE">
        <w:rPr>
          <w:rFonts w:ascii="Palatino Linotype" w:hAnsi="Palatino Linotype"/>
          <w:sz w:val="24"/>
          <w:szCs w:val="24"/>
        </w:rPr>
        <w:t xml:space="preserve">The untrained person may not have the knowledge or discernment to sort </w:t>
      </w:r>
      <w:r w:rsidRPr="006A72DE">
        <w:rPr>
          <w:rFonts w:ascii="Palatino Linotype" w:hAnsi="Palatino Linotype"/>
          <w:sz w:val="24"/>
          <w:szCs w:val="24"/>
        </w:rPr>
        <w:lastRenderedPageBreak/>
        <w:t>through the data presented, as file drawer studies (or even other studies not supporting their treatment) and QRPs are not mentioned. In addition, many of the individuals attending these trainings are either master’s education level therapists or “downstream”</w:t>
      </w:r>
      <w:r w:rsidR="00133E5C">
        <w:rPr>
          <w:rStyle w:val="FootnoteReference"/>
          <w:rFonts w:ascii="Palatino Linotype" w:hAnsi="Palatino Linotype"/>
          <w:sz w:val="24"/>
          <w:szCs w:val="24"/>
        </w:rPr>
        <w:footnoteReference w:id="144"/>
      </w:r>
      <w:r w:rsidRPr="006A72DE">
        <w:rPr>
          <w:rFonts w:ascii="Palatino Linotype" w:hAnsi="Palatino Linotype"/>
          <w:sz w:val="24"/>
          <w:szCs w:val="24"/>
        </w:rPr>
        <w:t xml:space="preserve"> doctoral level therapists, meaning they are more interested in interventions and practical application. They are the ones face-to-face with suffering individuals, trying to learn pragmatically what to actually do in the therapy room to help the person in front of them. This is in contrast to “upstream” thinkers, who deal with theory, academia, and research.</w:t>
      </w:r>
      <w:r w:rsidR="00133E5C">
        <w:rPr>
          <w:rStyle w:val="FootnoteReference"/>
          <w:rFonts w:ascii="Palatino Linotype" w:hAnsi="Palatino Linotype"/>
          <w:sz w:val="24"/>
          <w:szCs w:val="24"/>
        </w:rPr>
        <w:footnoteReference w:id="145"/>
      </w:r>
    </w:p>
    <w:p w14:paraId="12FAA484" w14:textId="77777777" w:rsidR="00133E5C" w:rsidRDefault="00133E5C" w:rsidP="00133E5C">
      <w:pPr>
        <w:ind w:firstLine="720"/>
        <w:rPr>
          <w:rFonts w:ascii="Palatino Linotype" w:hAnsi="Palatino Linotype"/>
          <w:sz w:val="24"/>
          <w:szCs w:val="24"/>
        </w:rPr>
      </w:pPr>
    </w:p>
    <w:p w14:paraId="78EDB10C" w14:textId="758CD36C" w:rsidR="006A72DE" w:rsidRPr="006A72DE" w:rsidRDefault="006A72DE" w:rsidP="00133E5C">
      <w:pPr>
        <w:ind w:firstLine="720"/>
        <w:rPr>
          <w:rFonts w:ascii="Palatino Linotype" w:hAnsi="Palatino Linotype"/>
          <w:sz w:val="24"/>
          <w:szCs w:val="24"/>
        </w:rPr>
      </w:pPr>
      <w:r w:rsidRPr="006A72DE">
        <w:rPr>
          <w:rFonts w:ascii="Palatino Linotype" w:hAnsi="Palatino Linotype"/>
          <w:sz w:val="24"/>
          <w:szCs w:val="24"/>
        </w:rPr>
        <w:t>Then the presenter explains the data with a theory, which will always come with a worldview. Many of the theorists are brilliant thinkers, and in common grace, note keen observations. Yet without a biblical perspective, there will be distortions. Furthermore, David Powlison pointed out that their explanations of what they see are “signposts to solutions,” their interventions, their prescription, their treatment of the problem.</w:t>
      </w:r>
      <w:r w:rsidR="00133E5C">
        <w:rPr>
          <w:rStyle w:val="FootnoteReference"/>
          <w:rFonts w:ascii="Palatino Linotype" w:hAnsi="Palatino Linotype"/>
          <w:sz w:val="24"/>
          <w:szCs w:val="24"/>
        </w:rPr>
        <w:footnoteReference w:id="146"/>
      </w:r>
    </w:p>
    <w:p w14:paraId="186F0517" w14:textId="77777777" w:rsidR="00133E5C" w:rsidRDefault="00133E5C" w:rsidP="00133E5C">
      <w:pPr>
        <w:ind w:firstLine="720"/>
        <w:rPr>
          <w:rFonts w:ascii="Palatino Linotype" w:hAnsi="Palatino Linotype"/>
          <w:sz w:val="24"/>
          <w:szCs w:val="24"/>
        </w:rPr>
      </w:pPr>
    </w:p>
    <w:p w14:paraId="51AE2327" w14:textId="0F1EEF72" w:rsidR="006A72DE" w:rsidRPr="006A72DE" w:rsidRDefault="006A72DE" w:rsidP="00133E5C">
      <w:pPr>
        <w:ind w:firstLine="720"/>
        <w:rPr>
          <w:rFonts w:ascii="Palatino Linotype" w:hAnsi="Palatino Linotype"/>
          <w:sz w:val="24"/>
          <w:szCs w:val="24"/>
        </w:rPr>
      </w:pPr>
      <w:r w:rsidRPr="006A72DE">
        <w:rPr>
          <w:rFonts w:ascii="Palatino Linotype" w:hAnsi="Palatino Linotype"/>
          <w:sz w:val="24"/>
          <w:szCs w:val="24"/>
        </w:rPr>
        <w:t>Mental health providers typically are individuals wanting to alleviate suffering in the world.</w:t>
      </w:r>
      <w:r w:rsidR="00133E5C">
        <w:rPr>
          <w:rStyle w:val="FootnoteReference"/>
          <w:rFonts w:ascii="Palatino Linotype" w:hAnsi="Palatino Linotype"/>
          <w:sz w:val="24"/>
          <w:szCs w:val="24"/>
        </w:rPr>
        <w:footnoteReference w:id="147"/>
      </w:r>
      <w:r w:rsidRPr="006A72DE">
        <w:rPr>
          <w:rFonts w:ascii="Palatino Linotype" w:hAnsi="Palatino Linotype"/>
          <w:sz w:val="24"/>
          <w:szCs w:val="24"/>
        </w:rPr>
        <w:t xml:space="preserve"> At times, they can be helpful by walking alongside a sufferer or decreasing some symptomatology. However, ultimately their solutions lack gospel redemption, the living Word, Spirit empowerment, and church one-anothers support.</w:t>
      </w:r>
    </w:p>
    <w:p w14:paraId="58AABF42" w14:textId="77777777" w:rsidR="006A72DE" w:rsidRPr="006A72DE" w:rsidRDefault="006A72DE" w:rsidP="006A72DE">
      <w:pPr>
        <w:rPr>
          <w:rFonts w:ascii="Palatino Linotype" w:hAnsi="Palatino Linotype"/>
          <w:sz w:val="24"/>
          <w:szCs w:val="24"/>
        </w:rPr>
      </w:pPr>
    </w:p>
    <w:p w14:paraId="026BC83A" w14:textId="77777777" w:rsidR="006A72DE" w:rsidRPr="006A72DE" w:rsidRDefault="006A72DE" w:rsidP="006A72DE">
      <w:pPr>
        <w:rPr>
          <w:rFonts w:ascii="Palatino Linotype" w:hAnsi="Palatino Linotype"/>
          <w:b/>
          <w:bCs/>
          <w:sz w:val="24"/>
          <w:szCs w:val="24"/>
        </w:rPr>
      </w:pPr>
      <w:r w:rsidRPr="006A72DE">
        <w:rPr>
          <w:rFonts w:ascii="Palatino Linotype" w:hAnsi="Palatino Linotype"/>
          <w:b/>
          <w:bCs/>
          <w:sz w:val="24"/>
          <w:szCs w:val="24"/>
        </w:rPr>
        <w:t>Conclusion</w:t>
      </w:r>
    </w:p>
    <w:p w14:paraId="7BED148F" w14:textId="4087C8C3" w:rsidR="006A72DE" w:rsidRPr="006A72DE" w:rsidRDefault="006A72DE" w:rsidP="00284E62">
      <w:pPr>
        <w:ind w:firstLine="720"/>
        <w:rPr>
          <w:rFonts w:ascii="Palatino Linotype" w:hAnsi="Palatino Linotype"/>
          <w:sz w:val="24"/>
          <w:szCs w:val="24"/>
        </w:rPr>
      </w:pPr>
      <w:r w:rsidRPr="006A72DE">
        <w:rPr>
          <w:rFonts w:ascii="Palatino Linotype" w:hAnsi="Palatino Linotype"/>
          <w:sz w:val="24"/>
          <w:szCs w:val="24"/>
        </w:rPr>
        <w:t>Jay Adams wrote, “I do not wish to disregard science, but rather I welcome it as a useful adjunct for the purposes of illustrating, filling in generalizations with specifics, and challenging wrong human interpretations of Scripture, thereby forcing the student to restudy the Scriptures.”</w:t>
      </w:r>
      <w:r w:rsidR="00D670A8">
        <w:rPr>
          <w:rStyle w:val="FootnoteReference"/>
          <w:rFonts w:ascii="Palatino Linotype" w:hAnsi="Palatino Linotype"/>
          <w:sz w:val="24"/>
          <w:szCs w:val="24"/>
        </w:rPr>
        <w:footnoteReference w:id="148"/>
      </w:r>
      <w:r w:rsidRPr="006A72DE">
        <w:rPr>
          <w:rFonts w:ascii="Palatino Linotype" w:hAnsi="Palatino Linotype"/>
          <w:sz w:val="24"/>
          <w:szCs w:val="24"/>
        </w:rPr>
        <w:t xml:space="preserve"> Without being anti-science, let us be discerning of scientific claims and not be tossed to and fro by them. Researchers themselves have acknowledged vulnerabilities in their endeavor to better understand and improve the human condition, as well as how their results may be misconstrued. While fraud and negligence may be difficult to detect, in these footnotes are considerations to detect bias and hype, and to evaluate the usefulness of observations made in research.</w:t>
      </w:r>
      <w:r w:rsidR="00D670A8">
        <w:rPr>
          <w:rStyle w:val="FootnoteReference"/>
          <w:rFonts w:ascii="Palatino Linotype" w:hAnsi="Palatino Linotype"/>
          <w:sz w:val="24"/>
          <w:szCs w:val="24"/>
        </w:rPr>
        <w:footnoteReference w:id="149"/>
      </w:r>
    </w:p>
    <w:p w14:paraId="0B5A3990" w14:textId="77777777" w:rsidR="00284E62" w:rsidRDefault="00284E62" w:rsidP="00284E62">
      <w:pPr>
        <w:ind w:firstLine="720"/>
        <w:rPr>
          <w:rFonts w:ascii="Palatino Linotype" w:hAnsi="Palatino Linotype"/>
          <w:sz w:val="24"/>
          <w:szCs w:val="24"/>
        </w:rPr>
      </w:pPr>
    </w:p>
    <w:p w14:paraId="513ABAB2" w14:textId="5E7D6360" w:rsidR="006A72DE" w:rsidRPr="006A72DE" w:rsidRDefault="006A72DE" w:rsidP="00284E62">
      <w:pPr>
        <w:ind w:firstLine="720"/>
        <w:rPr>
          <w:rFonts w:ascii="Palatino Linotype" w:hAnsi="Palatino Linotype"/>
          <w:sz w:val="24"/>
          <w:szCs w:val="24"/>
        </w:rPr>
      </w:pPr>
      <w:r w:rsidRPr="006A72DE">
        <w:rPr>
          <w:rFonts w:ascii="Palatino Linotype" w:hAnsi="Palatino Linotype"/>
          <w:sz w:val="24"/>
          <w:szCs w:val="24"/>
        </w:rPr>
        <w:t>Before biblical counseling, I was looking to be on the cutting edge of psychological treatment with the hopes of providing the best possible help to those coming to me. In my MABC program I was struck even by utilizing Turabian style formatting versus APA style, in which year of publication and author are more emphasized. While recently cleaning out my office, I discarded materials from twenty years ago that were outdated. But in biblical counseling, I use words written in 15th Century BC. I use Puritan writings about the Word from the 1500s to the 1700s.</w:t>
      </w:r>
    </w:p>
    <w:p w14:paraId="19D28608" w14:textId="77777777" w:rsidR="00284E62" w:rsidRDefault="00284E62" w:rsidP="006A72DE">
      <w:pPr>
        <w:rPr>
          <w:rFonts w:ascii="Palatino Linotype" w:hAnsi="Palatino Linotype"/>
          <w:sz w:val="24"/>
          <w:szCs w:val="24"/>
        </w:rPr>
      </w:pPr>
    </w:p>
    <w:p w14:paraId="3D54B6BF" w14:textId="0CF47E2D" w:rsidR="00284E62" w:rsidRDefault="006A72DE" w:rsidP="00284E62">
      <w:pPr>
        <w:ind w:firstLine="720"/>
        <w:rPr>
          <w:rFonts w:ascii="Palatino Linotype" w:hAnsi="Palatino Linotype"/>
          <w:sz w:val="24"/>
          <w:szCs w:val="24"/>
        </w:rPr>
      </w:pPr>
      <w:r w:rsidRPr="006A72DE">
        <w:rPr>
          <w:rFonts w:ascii="Palatino Linotype" w:hAnsi="Palatino Linotype"/>
          <w:sz w:val="24"/>
          <w:szCs w:val="24"/>
        </w:rPr>
        <w:t>Some scriptures came to mind as I wrote this essay:</w:t>
      </w:r>
      <w:r w:rsidR="00BA212F">
        <w:rPr>
          <w:rStyle w:val="FootnoteReference"/>
          <w:rFonts w:ascii="Palatino Linotype" w:hAnsi="Palatino Linotype"/>
          <w:sz w:val="24"/>
          <w:szCs w:val="24"/>
        </w:rPr>
        <w:footnoteReference w:id="150"/>
      </w:r>
      <w:r w:rsidRPr="006A72DE">
        <w:rPr>
          <w:rFonts w:ascii="Palatino Linotype" w:hAnsi="Palatino Linotype"/>
          <w:sz w:val="24"/>
          <w:szCs w:val="24"/>
        </w:rPr>
        <w:t xml:space="preserve"> </w:t>
      </w:r>
    </w:p>
    <w:p w14:paraId="1B065460" w14:textId="77777777" w:rsidR="00284E62" w:rsidRDefault="006A72DE" w:rsidP="00284E62">
      <w:pPr>
        <w:ind w:firstLine="720"/>
        <w:rPr>
          <w:rFonts w:ascii="Palatino Linotype" w:hAnsi="Palatino Linotype"/>
          <w:sz w:val="24"/>
          <w:szCs w:val="24"/>
        </w:rPr>
      </w:pPr>
      <w:r w:rsidRPr="006A72DE">
        <w:rPr>
          <w:rFonts w:ascii="Palatino Linotype" w:hAnsi="Palatino Linotype"/>
          <w:sz w:val="24"/>
          <w:szCs w:val="24"/>
        </w:rPr>
        <w:t>“The law of the Lord is perfect,</w:t>
      </w:r>
      <w:r w:rsidR="00284E62">
        <w:rPr>
          <w:rFonts w:ascii="Palatino Linotype" w:hAnsi="Palatino Linotype"/>
          <w:sz w:val="24"/>
          <w:szCs w:val="24"/>
        </w:rPr>
        <w:t xml:space="preserve"> </w:t>
      </w:r>
    </w:p>
    <w:p w14:paraId="781EFD47" w14:textId="77777777" w:rsidR="00284E62" w:rsidRPr="00284E62" w:rsidRDefault="006A72DE" w:rsidP="00284E62">
      <w:pPr>
        <w:ind w:left="720" w:firstLine="720"/>
        <w:rPr>
          <w:rFonts w:ascii="Palatino Linotype" w:hAnsi="Palatino Linotype"/>
          <w:sz w:val="24"/>
          <w:szCs w:val="24"/>
        </w:rPr>
      </w:pPr>
      <w:r w:rsidRPr="006A72DE">
        <w:rPr>
          <w:rFonts w:ascii="Palatino Linotype" w:hAnsi="Palatino Linotype"/>
          <w:sz w:val="24"/>
          <w:szCs w:val="24"/>
        </w:rPr>
        <w:t>reviving the soul;</w:t>
      </w:r>
    </w:p>
    <w:p w14:paraId="2E7F9C91" w14:textId="77777777" w:rsidR="00284E62" w:rsidRPr="00284E62" w:rsidRDefault="006A72DE" w:rsidP="00284E62">
      <w:pPr>
        <w:ind w:firstLine="720"/>
        <w:rPr>
          <w:rFonts w:ascii="Palatino Linotype" w:hAnsi="Palatino Linotype"/>
          <w:sz w:val="24"/>
          <w:szCs w:val="24"/>
        </w:rPr>
      </w:pPr>
      <w:r w:rsidRPr="006A72DE">
        <w:rPr>
          <w:rFonts w:ascii="Palatino Linotype" w:hAnsi="Palatino Linotype"/>
          <w:sz w:val="24"/>
          <w:szCs w:val="24"/>
        </w:rPr>
        <w:t xml:space="preserve">the testimony of the Lord is sure, </w:t>
      </w:r>
    </w:p>
    <w:p w14:paraId="2812E1EA" w14:textId="67331A2A" w:rsidR="006A72DE" w:rsidRPr="006A72DE" w:rsidRDefault="006A72DE" w:rsidP="00284E62">
      <w:pPr>
        <w:ind w:left="720" w:firstLine="720"/>
        <w:rPr>
          <w:rFonts w:ascii="Palatino Linotype" w:hAnsi="Palatino Linotype"/>
          <w:sz w:val="24"/>
          <w:szCs w:val="24"/>
        </w:rPr>
      </w:pPr>
      <w:r w:rsidRPr="006A72DE">
        <w:rPr>
          <w:rFonts w:ascii="Palatino Linotype" w:hAnsi="Palatino Linotype"/>
          <w:sz w:val="24"/>
          <w:szCs w:val="24"/>
        </w:rPr>
        <w:t>making wise the simple.”</w:t>
      </w:r>
    </w:p>
    <w:p w14:paraId="777187D9" w14:textId="77777777" w:rsidR="006A72DE" w:rsidRPr="006A72DE" w:rsidRDefault="006A72DE" w:rsidP="00284E62">
      <w:pPr>
        <w:ind w:left="3600" w:firstLine="720"/>
        <w:rPr>
          <w:rFonts w:ascii="Palatino Linotype" w:hAnsi="Palatino Linotype"/>
          <w:sz w:val="24"/>
          <w:szCs w:val="24"/>
        </w:rPr>
      </w:pPr>
      <w:r w:rsidRPr="006A72DE">
        <w:rPr>
          <w:rFonts w:ascii="Palatino Linotype" w:hAnsi="Palatino Linotype"/>
          <w:sz w:val="24"/>
          <w:szCs w:val="24"/>
        </w:rPr>
        <w:t>(Psalm 19:7)</w:t>
      </w:r>
    </w:p>
    <w:p w14:paraId="525FBC9E" w14:textId="77777777" w:rsidR="00284E62" w:rsidRPr="00284E62" w:rsidRDefault="00284E62" w:rsidP="006A72DE">
      <w:pPr>
        <w:rPr>
          <w:rFonts w:ascii="Palatino Linotype" w:hAnsi="Palatino Linotype"/>
          <w:sz w:val="24"/>
          <w:szCs w:val="24"/>
        </w:rPr>
      </w:pPr>
    </w:p>
    <w:p w14:paraId="597598BA" w14:textId="23035850" w:rsidR="006A72DE" w:rsidRPr="006A72DE" w:rsidRDefault="006A72DE" w:rsidP="006A72DE">
      <w:pPr>
        <w:rPr>
          <w:rFonts w:ascii="Palatino Linotype" w:hAnsi="Palatino Linotype"/>
          <w:sz w:val="24"/>
          <w:szCs w:val="24"/>
        </w:rPr>
      </w:pPr>
      <w:r w:rsidRPr="006A72DE">
        <w:rPr>
          <w:rFonts w:ascii="Palatino Linotype" w:hAnsi="Palatino Linotype"/>
          <w:sz w:val="24"/>
          <w:szCs w:val="24"/>
        </w:rPr>
        <w:t>We do not need science to be wise, we have the perfect Word which revives the soul.</w:t>
      </w:r>
    </w:p>
    <w:p w14:paraId="0F70EC05" w14:textId="77777777" w:rsidR="006A72DE" w:rsidRPr="006A72DE" w:rsidRDefault="006A72DE" w:rsidP="006A72DE">
      <w:pPr>
        <w:rPr>
          <w:rFonts w:ascii="Palatino Linotype" w:hAnsi="Palatino Linotype"/>
          <w:sz w:val="24"/>
          <w:szCs w:val="24"/>
        </w:rPr>
      </w:pPr>
    </w:p>
    <w:p w14:paraId="7E45D52F" w14:textId="050A9DED" w:rsidR="006A72DE" w:rsidRPr="006A72DE" w:rsidRDefault="006A72DE" w:rsidP="00284E62">
      <w:pPr>
        <w:ind w:left="720"/>
        <w:rPr>
          <w:rFonts w:ascii="Palatino Linotype" w:hAnsi="Palatino Linotype"/>
          <w:sz w:val="24"/>
          <w:szCs w:val="24"/>
        </w:rPr>
      </w:pPr>
      <w:r w:rsidRPr="006A72DE">
        <w:rPr>
          <w:rFonts w:ascii="Palatino Linotype" w:hAnsi="Palatino Linotype"/>
          <w:sz w:val="24"/>
          <w:szCs w:val="24"/>
        </w:rPr>
        <w:t>“Since you have been born again, not of perishable seed but of imperishable, through the living and abiding word of God.”</w:t>
      </w:r>
      <w:r w:rsidR="00284E62" w:rsidRPr="00284E62">
        <w:rPr>
          <w:rFonts w:ascii="Palatino Linotype" w:hAnsi="Palatino Linotype"/>
          <w:sz w:val="24"/>
          <w:szCs w:val="24"/>
        </w:rPr>
        <w:t xml:space="preserve"> </w:t>
      </w:r>
      <w:r w:rsidRPr="006A72DE">
        <w:rPr>
          <w:rFonts w:ascii="Palatino Linotype" w:hAnsi="Palatino Linotype"/>
          <w:sz w:val="24"/>
          <w:szCs w:val="24"/>
        </w:rPr>
        <w:t>(1 Peter 1:23)</w:t>
      </w:r>
    </w:p>
    <w:p w14:paraId="13DDE441" w14:textId="77777777" w:rsidR="00284E62" w:rsidRPr="00284E62" w:rsidRDefault="00284E62" w:rsidP="006A72DE">
      <w:pPr>
        <w:rPr>
          <w:rFonts w:ascii="Palatino Linotype" w:hAnsi="Palatino Linotype"/>
          <w:sz w:val="24"/>
          <w:szCs w:val="24"/>
        </w:rPr>
      </w:pPr>
    </w:p>
    <w:p w14:paraId="58106C20" w14:textId="03594CA4" w:rsidR="006A72DE" w:rsidRPr="006A72DE" w:rsidRDefault="006A72DE" w:rsidP="006A72DE">
      <w:pPr>
        <w:rPr>
          <w:rFonts w:ascii="Palatino Linotype" w:hAnsi="Palatino Linotype"/>
          <w:sz w:val="24"/>
          <w:szCs w:val="24"/>
        </w:rPr>
      </w:pPr>
      <w:r w:rsidRPr="006A72DE">
        <w:rPr>
          <w:rFonts w:ascii="Palatino Linotype" w:hAnsi="Palatino Linotype"/>
          <w:sz w:val="24"/>
          <w:szCs w:val="24"/>
        </w:rPr>
        <w:t>The Word of God is imperishable, living and abiding in His children.</w:t>
      </w:r>
    </w:p>
    <w:p w14:paraId="7D5191CC" w14:textId="6A2FEE52" w:rsidR="006A72DE" w:rsidRPr="006A72DE" w:rsidRDefault="006A72DE" w:rsidP="00284E62">
      <w:pPr>
        <w:ind w:left="720"/>
        <w:rPr>
          <w:rFonts w:ascii="Palatino Linotype" w:hAnsi="Palatino Linotype"/>
          <w:sz w:val="24"/>
          <w:szCs w:val="24"/>
        </w:rPr>
      </w:pPr>
      <w:r w:rsidRPr="006A72DE">
        <w:rPr>
          <w:rFonts w:ascii="Palatino Linotype" w:hAnsi="Palatino Linotype"/>
          <w:sz w:val="24"/>
          <w:szCs w:val="24"/>
        </w:rPr>
        <w:t>“But as for you, continue in what you have learned and have firmly believed, knowing from whom you learned it and how from childhood you have been acquainted with the sacred writings, which are able to make you wise for salvation through faith in</w:t>
      </w:r>
      <w:r w:rsidRPr="00284E62">
        <w:rPr>
          <w:rFonts w:ascii="Palatino Linotype" w:hAnsi="Palatino Linotype"/>
          <w:sz w:val="24"/>
          <w:szCs w:val="24"/>
        </w:rPr>
        <w:t xml:space="preserve"> </w:t>
      </w:r>
      <w:r w:rsidRPr="00284E62">
        <w:rPr>
          <w:rFonts w:ascii="Palatino Linotype" w:hAnsi="Palatino Linotype"/>
          <w:sz w:val="24"/>
          <w:szCs w:val="24"/>
        </w:rPr>
        <w:t>Christ Jesus. All Scripture is breathed out by God and profitable for teaching, for reproof, for correction, and for training in righteousness, that the man of God may be complete, equipped for every good work.”</w:t>
      </w:r>
      <w:r w:rsidR="00284E62" w:rsidRPr="00284E62">
        <w:rPr>
          <w:rFonts w:ascii="Palatino Linotype" w:hAnsi="Palatino Linotype"/>
          <w:sz w:val="24"/>
          <w:szCs w:val="24"/>
        </w:rPr>
        <w:t xml:space="preserve"> </w:t>
      </w:r>
      <w:r w:rsidRPr="006A72DE">
        <w:rPr>
          <w:rFonts w:ascii="Palatino Linotype" w:hAnsi="Palatino Linotype"/>
          <w:sz w:val="24"/>
          <w:szCs w:val="24"/>
        </w:rPr>
        <w:t>(2 Timothy 3:14-17)</w:t>
      </w:r>
    </w:p>
    <w:p w14:paraId="3C3DE26B" w14:textId="77777777" w:rsidR="006A72DE" w:rsidRPr="006A72DE" w:rsidRDefault="006A72DE" w:rsidP="006A72DE">
      <w:pPr>
        <w:rPr>
          <w:rFonts w:ascii="Palatino Linotype" w:hAnsi="Palatino Linotype"/>
          <w:sz w:val="24"/>
          <w:szCs w:val="24"/>
        </w:rPr>
      </w:pPr>
    </w:p>
    <w:p w14:paraId="47846CCE" w14:textId="77777777" w:rsidR="00D63C19" w:rsidRDefault="006A72DE" w:rsidP="00BA212F">
      <w:pPr>
        <w:ind w:firstLine="720"/>
        <w:rPr>
          <w:rFonts w:ascii="Palatino Linotype" w:hAnsi="Palatino Linotype"/>
          <w:sz w:val="24"/>
          <w:szCs w:val="24"/>
        </w:rPr>
        <w:sectPr w:rsidR="00D63C19">
          <w:footnotePr>
            <w:numRestart w:val="eachSect"/>
          </w:footnotePr>
          <w:pgSz w:w="12240" w:h="15840"/>
          <w:pgMar w:top="1440" w:right="1440" w:bottom="1440" w:left="1440" w:header="720" w:footer="720" w:gutter="0"/>
          <w:cols w:space="720"/>
          <w:docGrid w:linePitch="360"/>
        </w:sectPr>
      </w:pPr>
      <w:r w:rsidRPr="006A72DE">
        <w:rPr>
          <w:rFonts w:ascii="Palatino Linotype" w:hAnsi="Palatino Linotype"/>
          <w:sz w:val="24"/>
          <w:szCs w:val="24"/>
        </w:rPr>
        <w:t>In exegeting this passage, I was convicted that instead of needing to be “progressive” in counseling, possibly denying the power of godliness (3:5) and being deceived (3:13), I could continue (present, active imperative) in the sacred writings. May God be praised for the sufficiency and inerrancy of Scripture!</w:t>
      </w:r>
    </w:p>
    <w:p w14:paraId="69928521" w14:textId="77777777" w:rsidR="000C1759" w:rsidRDefault="000C1759" w:rsidP="00D63C19">
      <w:pPr>
        <w:jc w:val="center"/>
        <w:rPr>
          <w:rFonts w:ascii="Palatino Linotype" w:hAnsi="Palatino Linotype"/>
          <w:b/>
          <w:bCs/>
          <w:sz w:val="28"/>
          <w:szCs w:val="28"/>
        </w:rPr>
      </w:pPr>
    </w:p>
    <w:p w14:paraId="2CE31A09" w14:textId="77777777" w:rsidR="00210C02" w:rsidRDefault="00210C02" w:rsidP="00D63C19">
      <w:pPr>
        <w:jc w:val="center"/>
        <w:rPr>
          <w:rFonts w:ascii="Palatino Linotype" w:hAnsi="Palatino Linotype"/>
          <w:b/>
          <w:bCs/>
          <w:sz w:val="28"/>
          <w:szCs w:val="28"/>
        </w:rPr>
      </w:pPr>
    </w:p>
    <w:p w14:paraId="2D23F6CB" w14:textId="39436550" w:rsidR="006A72DE" w:rsidRDefault="00D63C19" w:rsidP="00D63C19">
      <w:pPr>
        <w:jc w:val="center"/>
        <w:rPr>
          <w:rFonts w:ascii="Palatino Linotype" w:hAnsi="Palatino Linotype"/>
          <w:b/>
          <w:bCs/>
          <w:sz w:val="28"/>
          <w:szCs w:val="28"/>
        </w:rPr>
      </w:pPr>
      <w:r w:rsidRPr="00D63C19">
        <w:rPr>
          <w:rFonts w:ascii="Palatino Linotype" w:hAnsi="Palatino Linotype"/>
          <w:b/>
          <w:bCs/>
          <w:sz w:val="28"/>
          <w:szCs w:val="28"/>
        </w:rPr>
        <w:t>THE MYTH OF THE MEDICAL MODEL</w:t>
      </w:r>
    </w:p>
    <w:p w14:paraId="34BFB304" w14:textId="77777777" w:rsidR="000C1759" w:rsidRPr="00D63C19" w:rsidRDefault="000C1759" w:rsidP="00D63C19">
      <w:pPr>
        <w:jc w:val="center"/>
        <w:rPr>
          <w:rFonts w:ascii="Palatino Linotype" w:hAnsi="Palatino Linotype"/>
          <w:b/>
          <w:bCs/>
          <w:sz w:val="28"/>
          <w:szCs w:val="28"/>
        </w:rPr>
      </w:pPr>
    </w:p>
    <w:p w14:paraId="436E8CB6" w14:textId="78EB60B4" w:rsidR="00D63C19" w:rsidRPr="00D63C19" w:rsidRDefault="00D63C19" w:rsidP="00D63C19">
      <w:pPr>
        <w:jc w:val="center"/>
        <w:rPr>
          <w:rFonts w:ascii="Palatino Linotype" w:hAnsi="Palatino Linotype"/>
          <w:b/>
          <w:bCs/>
          <w:i/>
          <w:iCs/>
          <w:sz w:val="28"/>
          <w:szCs w:val="28"/>
        </w:rPr>
      </w:pPr>
      <w:r w:rsidRPr="00D63C19">
        <w:rPr>
          <w:rFonts w:ascii="Palatino Linotype" w:hAnsi="Palatino Linotype"/>
          <w:b/>
          <w:bCs/>
          <w:i/>
          <w:iCs/>
          <w:sz w:val="28"/>
          <w:szCs w:val="28"/>
        </w:rPr>
        <w:t>BY DANIEL BERGER</w:t>
      </w:r>
    </w:p>
    <w:p w14:paraId="3DFCF196" w14:textId="77777777" w:rsidR="00D63C19" w:rsidRPr="006A72DE" w:rsidRDefault="00D63C19" w:rsidP="00D63C19">
      <w:pPr>
        <w:rPr>
          <w:rFonts w:ascii="Palatino Linotype" w:hAnsi="Palatino Linotype"/>
          <w:sz w:val="24"/>
          <w:szCs w:val="24"/>
        </w:rPr>
      </w:pPr>
    </w:p>
    <w:p w14:paraId="562F2E7D" w14:textId="45DCC712" w:rsidR="006A72DE" w:rsidRDefault="006A72DE" w:rsidP="00F83EE2">
      <w:pPr>
        <w:rPr>
          <w:rFonts w:ascii="Palatino Linotype" w:hAnsi="Palatino Linotype"/>
          <w:sz w:val="24"/>
          <w:szCs w:val="24"/>
        </w:rPr>
      </w:pPr>
    </w:p>
    <w:p w14:paraId="4F7C2B37" w14:textId="79144238" w:rsidR="000C1759" w:rsidRPr="000C1759" w:rsidRDefault="000C1759" w:rsidP="003D029B">
      <w:pPr>
        <w:ind w:firstLine="720"/>
        <w:rPr>
          <w:rFonts w:ascii="Palatino Linotype" w:hAnsi="Palatino Linotype"/>
          <w:sz w:val="24"/>
          <w:szCs w:val="24"/>
        </w:rPr>
      </w:pPr>
      <w:r w:rsidRPr="000C1759">
        <w:rPr>
          <w:rFonts w:ascii="Palatino Linotype" w:hAnsi="Palatino Linotype"/>
          <w:sz w:val="24"/>
          <w:szCs w:val="24"/>
        </w:rPr>
        <w:t xml:space="preserve">In the classic 1939 film, </w:t>
      </w:r>
      <w:r w:rsidRPr="000C1759">
        <w:rPr>
          <w:rFonts w:ascii="Palatino Linotype" w:hAnsi="Palatino Linotype"/>
          <w:i/>
          <w:sz w:val="24"/>
          <w:szCs w:val="24"/>
        </w:rPr>
        <w:t xml:space="preserve">The Wizard of Oz, </w:t>
      </w:r>
      <w:r w:rsidRPr="000C1759">
        <w:rPr>
          <w:rFonts w:ascii="Palatino Linotype" w:hAnsi="Palatino Linotype"/>
          <w:sz w:val="24"/>
          <w:szCs w:val="24"/>
        </w:rPr>
        <w:t>the protagonists of the story face numerous powerful characters who are living in the mystical land of Oz. One of the most dominant figures is the wizard, who convinces nearly all that he is “the only man capable of solving their problems.”</w:t>
      </w:r>
      <w:r w:rsidR="00822DFB">
        <w:rPr>
          <w:rStyle w:val="FootnoteReference"/>
          <w:rFonts w:ascii="Palatino Linotype" w:hAnsi="Palatino Linotype"/>
          <w:sz w:val="24"/>
          <w:szCs w:val="24"/>
        </w:rPr>
        <w:footnoteReference w:id="151"/>
      </w:r>
      <w:r w:rsidRPr="000C1759">
        <w:rPr>
          <w:rFonts w:ascii="Palatino Linotype" w:hAnsi="Palatino Linotype"/>
          <w:sz w:val="24"/>
          <w:szCs w:val="24"/>
        </w:rPr>
        <w:t xml:space="preserve"> But things in Oz concerning the sorcerer are not as they seem to be.</w:t>
      </w:r>
    </w:p>
    <w:p w14:paraId="14877FCE" w14:textId="77777777" w:rsidR="003D029B" w:rsidRDefault="003D029B" w:rsidP="003D029B">
      <w:pPr>
        <w:ind w:firstLine="720"/>
        <w:rPr>
          <w:rFonts w:ascii="Palatino Linotype" w:hAnsi="Palatino Linotype"/>
          <w:sz w:val="24"/>
          <w:szCs w:val="24"/>
        </w:rPr>
      </w:pPr>
    </w:p>
    <w:p w14:paraId="6992CB59" w14:textId="04AA4E38" w:rsidR="000C1759" w:rsidRPr="000C1759" w:rsidRDefault="000C1759" w:rsidP="003D029B">
      <w:pPr>
        <w:ind w:firstLine="720"/>
        <w:rPr>
          <w:rFonts w:ascii="Palatino Linotype" w:hAnsi="Palatino Linotype"/>
          <w:sz w:val="24"/>
          <w:szCs w:val="24"/>
        </w:rPr>
      </w:pPr>
      <w:r w:rsidRPr="000C1759">
        <w:rPr>
          <w:rFonts w:ascii="Palatino Linotype" w:hAnsi="Palatino Linotype"/>
          <w:sz w:val="24"/>
          <w:szCs w:val="24"/>
        </w:rPr>
        <w:t>In a climactic scene of the movie, as Dorothy and her supporting cast stand before the grand wizard, Dorothy’s dog Toto pulls back a curtain that when opened reveals the wizard of Oz to be a fragile man who has been deceiving the entire community into believing his constructed narrative. One resource explains that Wizard is:</w:t>
      </w:r>
    </w:p>
    <w:p w14:paraId="3F900487" w14:textId="3F111A8F" w:rsidR="000C1759" w:rsidRPr="000C1759" w:rsidRDefault="000C1759" w:rsidP="003D029B">
      <w:pPr>
        <w:ind w:left="720"/>
        <w:rPr>
          <w:rFonts w:ascii="Palatino Linotype" w:hAnsi="Palatino Linotype"/>
          <w:sz w:val="24"/>
          <w:szCs w:val="24"/>
        </w:rPr>
      </w:pPr>
      <w:r w:rsidRPr="000C1759">
        <w:rPr>
          <w:rFonts w:ascii="Palatino Linotype" w:hAnsi="Palatino Linotype"/>
          <w:sz w:val="24"/>
          <w:szCs w:val="24"/>
        </w:rPr>
        <w:t>an ordinary conman from Omaha, Nebraska, who has been using elaborate magic tricks and props to make himself seem “great and powerful.” . . . One day his balloon sailed into the Land of Oz, and he found himself worshipped as a great sorcerer. As Oz had no leadership at the time, he became Supreme Ruler of the kingdom and did his best to sustain the myth.</w:t>
      </w:r>
      <w:r w:rsidR="003D029B">
        <w:rPr>
          <w:rStyle w:val="FootnoteReference"/>
          <w:rFonts w:ascii="Palatino Linotype" w:hAnsi="Palatino Linotype"/>
          <w:sz w:val="24"/>
          <w:szCs w:val="24"/>
        </w:rPr>
        <w:footnoteReference w:id="152"/>
      </w:r>
    </w:p>
    <w:p w14:paraId="5BEF1684" w14:textId="77777777" w:rsidR="003D029B" w:rsidRDefault="003D029B" w:rsidP="003D029B">
      <w:pPr>
        <w:ind w:firstLine="720"/>
        <w:rPr>
          <w:rFonts w:ascii="Palatino Linotype" w:hAnsi="Palatino Linotype"/>
          <w:sz w:val="24"/>
          <w:szCs w:val="24"/>
        </w:rPr>
      </w:pPr>
    </w:p>
    <w:p w14:paraId="130A77CD" w14:textId="2D3EC3ED" w:rsidR="000C1759" w:rsidRPr="000C1759" w:rsidRDefault="000C1759" w:rsidP="003D029B">
      <w:pPr>
        <w:ind w:firstLine="720"/>
        <w:rPr>
          <w:rFonts w:ascii="Palatino Linotype" w:hAnsi="Palatino Linotype"/>
          <w:sz w:val="24"/>
          <w:szCs w:val="24"/>
        </w:rPr>
      </w:pPr>
      <w:r w:rsidRPr="000C1759">
        <w:rPr>
          <w:rFonts w:ascii="Palatino Linotype" w:hAnsi="Palatino Linotype"/>
          <w:sz w:val="24"/>
          <w:szCs w:val="24"/>
        </w:rPr>
        <w:t>Even upon being exposed as something far different than his marketed image, the wizard initially refuses to confess his true nature. But a clear view behind the veil reveals empirical evidence that, when carefully examined by observers, changes their perspective and explains why the wizard, in spite of his mesmerizing declarations of power and claims of salvific qualities, could not actually deliver healing for anyone or effectively provide solutions to the many troubles in the Land of Oz. The great wizard of Oz in the classic novel was a myth originated and sustained by a mere mortal.</w:t>
      </w:r>
    </w:p>
    <w:p w14:paraId="6A1E5DB3" w14:textId="77777777" w:rsidR="003D029B" w:rsidRDefault="003D029B" w:rsidP="003D029B">
      <w:pPr>
        <w:ind w:firstLine="720"/>
        <w:rPr>
          <w:rFonts w:ascii="Palatino Linotype" w:hAnsi="Palatino Linotype"/>
          <w:sz w:val="24"/>
          <w:szCs w:val="24"/>
        </w:rPr>
      </w:pPr>
    </w:p>
    <w:p w14:paraId="078CB796" w14:textId="506DFE51" w:rsidR="00715B6A" w:rsidRDefault="000C1759" w:rsidP="00715B6A">
      <w:pPr>
        <w:ind w:firstLine="720"/>
        <w:rPr>
          <w:rFonts w:ascii="Palatino Linotype" w:hAnsi="Palatino Linotype"/>
        </w:rPr>
      </w:pPr>
      <w:r w:rsidRPr="000C1759">
        <w:rPr>
          <w:rFonts w:ascii="Palatino Linotype" w:hAnsi="Palatino Linotype"/>
          <w:sz w:val="24"/>
          <w:szCs w:val="24"/>
        </w:rPr>
        <w:t xml:space="preserve">The parallels between the fictional wizard in the </w:t>
      </w:r>
      <w:r w:rsidRPr="000C1759">
        <w:rPr>
          <w:rFonts w:ascii="Palatino Linotype" w:hAnsi="Palatino Linotype"/>
          <w:i/>
          <w:sz w:val="24"/>
          <w:szCs w:val="24"/>
        </w:rPr>
        <w:t xml:space="preserve">Wizard of Oz </w:t>
      </w:r>
      <w:r w:rsidRPr="000C1759">
        <w:rPr>
          <w:rFonts w:ascii="Palatino Linotype" w:hAnsi="Palatino Linotype"/>
          <w:sz w:val="24"/>
          <w:szCs w:val="24"/>
        </w:rPr>
        <w:t>and today’s Medical Model of mental disorders perpetuated by those who empower this paradigm are significant. The Medical Model of mental disorders —also called the “bio-psycho-</w:t>
      </w:r>
      <w:r w:rsidRPr="000C1759">
        <w:rPr>
          <w:rFonts w:ascii="Palatino Linotype" w:hAnsi="Palatino Linotype"/>
          <w:sz w:val="24"/>
          <w:szCs w:val="24"/>
        </w:rPr>
        <w:lastRenderedPageBreak/>
        <w:t>social” (BPS) and “neo</w:t>
      </w:r>
      <w:r w:rsidR="00715B6A">
        <w:rPr>
          <w:rFonts w:ascii="Palatino Linotype" w:hAnsi="Palatino Linotype"/>
          <w:sz w:val="24"/>
          <w:szCs w:val="24"/>
        </w:rPr>
        <w:t xml:space="preserve"> </w:t>
      </w:r>
      <w:r w:rsidR="00715B6A" w:rsidRPr="00715B6A">
        <w:rPr>
          <w:rFonts w:ascii="Palatino Linotype" w:hAnsi="Palatino Linotype"/>
        </w:rPr>
        <w:t>Kraepelinian model”</w:t>
      </w:r>
      <w:r w:rsidR="00315473">
        <w:rPr>
          <w:rStyle w:val="FootnoteReference"/>
          <w:rFonts w:ascii="Palatino Linotype" w:hAnsi="Palatino Linotype"/>
        </w:rPr>
        <w:footnoteReference w:id="153"/>
      </w:r>
      <w:r w:rsidR="00715B6A" w:rsidRPr="00715B6A">
        <w:rPr>
          <w:rFonts w:ascii="Palatino Linotype" w:hAnsi="Palatino Linotype"/>
        </w:rPr>
        <w:t>—is a deeply believed social myth presenting itself as the best means of solving society’s greatest and most troubling mental, emotional, and behavioral problems. There is no doubt that the Medical Model, when applied in treating the physical body, has helped many people throughout history as recorded in Scripture. But the Medical Model, when the spiritual soul, its metaphysical phenomena, and its outworking behavior are theoretically forced into being medical issues, has caused both great confusion as well as unfortunate results.</w:t>
      </w:r>
    </w:p>
    <w:p w14:paraId="5FEB8A5D" w14:textId="77777777" w:rsidR="005E3AF3" w:rsidRPr="00715B6A" w:rsidRDefault="005E3AF3" w:rsidP="00715B6A">
      <w:pPr>
        <w:ind w:firstLine="720"/>
        <w:rPr>
          <w:rFonts w:ascii="Palatino Linotype" w:hAnsi="Palatino Linotype"/>
        </w:rPr>
      </w:pPr>
    </w:p>
    <w:p w14:paraId="3C6BB315" w14:textId="3A0B2FD2" w:rsidR="00715B6A" w:rsidRPr="00715B6A" w:rsidRDefault="00715B6A" w:rsidP="00715B6A">
      <w:pPr>
        <w:ind w:firstLine="720"/>
        <w:rPr>
          <w:rFonts w:ascii="Palatino Linotype" w:hAnsi="Palatino Linotype"/>
          <w:sz w:val="24"/>
          <w:szCs w:val="24"/>
        </w:rPr>
      </w:pPr>
      <w:r w:rsidRPr="00715B6A">
        <w:rPr>
          <w:rFonts w:ascii="Palatino Linotype" w:hAnsi="Palatino Linotype"/>
          <w:sz w:val="24"/>
          <w:szCs w:val="24"/>
        </w:rPr>
        <w:t>Unquestionably, the Medical Model of mental disorders has grown to obtain great power and influence over society and that its many figureheads have over the last two centuries increased belief in the narrative of its validity and reliability. But behind the curtain of public knowledge is an entirely different reality. When the veil is pulled back on the Medical Model, its true nature is revealed to be a sophisticated form of modern shamanism masquerading as the seemingly all-powerful field of science and altruistic medicine that alone can explain and deliver humanity from its mental turmoil and distress.</w:t>
      </w:r>
      <w:r w:rsidR="00315473">
        <w:rPr>
          <w:rStyle w:val="FootnoteReference"/>
          <w:rFonts w:ascii="Palatino Linotype" w:hAnsi="Palatino Linotype"/>
          <w:sz w:val="24"/>
          <w:szCs w:val="24"/>
        </w:rPr>
        <w:footnoteReference w:id="154"/>
      </w:r>
    </w:p>
    <w:p w14:paraId="0AC2124F" w14:textId="06691DEB" w:rsidR="00715B6A" w:rsidRPr="00715B6A" w:rsidRDefault="00715B6A" w:rsidP="00715B6A">
      <w:pPr>
        <w:ind w:firstLine="720"/>
        <w:rPr>
          <w:rFonts w:ascii="Palatino Linotype" w:hAnsi="Palatino Linotype"/>
          <w:sz w:val="24"/>
          <w:szCs w:val="24"/>
        </w:rPr>
      </w:pPr>
      <w:r w:rsidRPr="00715B6A">
        <w:rPr>
          <w:rFonts w:ascii="Palatino Linotype" w:hAnsi="Palatino Linotype"/>
          <w:sz w:val="24"/>
          <w:szCs w:val="24"/>
        </w:rPr>
        <w:t xml:space="preserve">To expose how the Medical Model is a myth first requires a better understanding of what constitutes a </w:t>
      </w:r>
      <w:r w:rsidRPr="00715B6A">
        <w:rPr>
          <w:rFonts w:ascii="Palatino Linotype" w:hAnsi="Palatino Linotype"/>
          <w:i/>
          <w:sz w:val="24"/>
          <w:szCs w:val="24"/>
        </w:rPr>
        <w:t xml:space="preserve">myth </w:t>
      </w:r>
      <w:r w:rsidRPr="00715B6A">
        <w:rPr>
          <w:rFonts w:ascii="Palatino Linotype" w:hAnsi="Palatino Linotype"/>
          <w:sz w:val="24"/>
          <w:szCs w:val="24"/>
        </w:rPr>
        <w:t>before evidence is presented. Merriam-Webster’s dictionary defines a myth as “a usually traditional story of ostensibly historical events that serves to unfold part of the worldview of a people or explain a practice, belief, or natural phenomenon.”</w:t>
      </w:r>
      <w:r w:rsidR="00315473">
        <w:rPr>
          <w:rStyle w:val="FootnoteReference"/>
          <w:rFonts w:ascii="Palatino Linotype" w:hAnsi="Palatino Linotype"/>
          <w:sz w:val="24"/>
          <w:szCs w:val="24"/>
        </w:rPr>
        <w:footnoteReference w:id="155"/>
      </w:r>
      <w:r w:rsidRPr="00715B6A">
        <w:rPr>
          <w:rFonts w:ascii="Palatino Linotype" w:hAnsi="Palatino Linotype"/>
          <w:sz w:val="24"/>
          <w:szCs w:val="24"/>
        </w:rPr>
        <w:t xml:space="preserve"> Thus, discerning whether a popular belief and its outworking practice is a myth requires both an examination of history and an arrival at a clear understanding of the worldview undergirding the belief</w:t>
      </w:r>
      <w:r w:rsidR="005E3AF3">
        <w:rPr>
          <w:rFonts w:ascii="Palatino Linotype" w:hAnsi="Palatino Linotype"/>
          <w:sz w:val="24"/>
          <w:szCs w:val="24"/>
        </w:rPr>
        <w:t>’s</w:t>
      </w:r>
      <w:r w:rsidRPr="00715B6A">
        <w:rPr>
          <w:rFonts w:ascii="Palatino Linotype" w:hAnsi="Palatino Linotype"/>
          <w:sz w:val="24"/>
          <w:szCs w:val="24"/>
        </w:rPr>
        <w:t xml:space="preserve"> sustained narrative.</w:t>
      </w:r>
    </w:p>
    <w:p w14:paraId="65F6C9C6" w14:textId="77777777" w:rsidR="005E3AF3" w:rsidRDefault="005E3AF3" w:rsidP="00715B6A">
      <w:pPr>
        <w:ind w:firstLine="720"/>
        <w:rPr>
          <w:rFonts w:ascii="Palatino Linotype" w:hAnsi="Palatino Linotype"/>
          <w:sz w:val="24"/>
          <w:szCs w:val="24"/>
        </w:rPr>
      </w:pPr>
    </w:p>
    <w:p w14:paraId="524526D5" w14:textId="3E8DEE2B" w:rsidR="00715B6A" w:rsidRPr="00715B6A" w:rsidRDefault="00715B6A" w:rsidP="00715B6A">
      <w:pPr>
        <w:ind w:firstLine="720"/>
        <w:rPr>
          <w:rFonts w:ascii="Palatino Linotype" w:hAnsi="Palatino Linotype"/>
          <w:sz w:val="24"/>
          <w:szCs w:val="24"/>
        </w:rPr>
      </w:pPr>
      <w:r w:rsidRPr="00715B6A">
        <w:rPr>
          <w:rFonts w:ascii="Palatino Linotype" w:hAnsi="Palatino Linotype"/>
          <w:sz w:val="24"/>
          <w:szCs w:val="24"/>
        </w:rPr>
        <w:t xml:space="preserve">But it must be made clear that pronouncing the Medical Model to be a myth that cannot approach the soul in no way dismisses the reality of the human phenomena which those behind this worldview attempt to explain and treat. The distresses and struggles of the human soul/mind/psyche are very real and require a valid and reliable </w:t>
      </w:r>
      <w:r w:rsidRPr="00715B6A">
        <w:rPr>
          <w:rFonts w:ascii="Palatino Linotype" w:hAnsi="Palatino Linotype"/>
          <w:sz w:val="24"/>
          <w:szCs w:val="24"/>
        </w:rPr>
        <w:lastRenderedPageBreak/>
        <w:t>worldview to understand, approach, and treat. If one is to realize the true nature of the Medical Model, he or she must examine the beliefs and histories of the mortals past and present who are largely responsible for constructing this popular but failed worldview. A careful look behind the curtain of public knowledge requires that the very words of historic and contemporary influencers be carefully considered and that the underlying false claims of the model’s nature, which expose it to be a myth, be addressed.</w:t>
      </w:r>
    </w:p>
    <w:p w14:paraId="60627E4A" w14:textId="53AA3E81" w:rsidR="000C1759" w:rsidRDefault="000C1759" w:rsidP="003D029B">
      <w:pPr>
        <w:ind w:firstLine="720"/>
        <w:rPr>
          <w:rFonts w:ascii="Palatino Linotype" w:hAnsi="Palatino Linotype"/>
          <w:sz w:val="24"/>
          <w:szCs w:val="24"/>
        </w:rPr>
      </w:pPr>
    </w:p>
    <w:p w14:paraId="04A7226F" w14:textId="77777777" w:rsidR="005E3AF3" w:rsidRDefault="005E3AF3" w:rsidP="003D029B">
      <w:pPr>
        <w:ind w:firstLine="720"/>
        <w:rPr>
          <w:rFonts w:ascii="Palatino Linotype" w:hAnsi="Palatino Linotype"/>
          <w:sz w:val="24"/>
          <w:szCs w:val="24"/>
        </w:rPr>
      </w:pPr>
    </w:p>
    <w:p w14:paraId="7084F03F" w14:textId="77777777" w:rsidR="005E3AF3" w:rsidRPr="005E3AF3" w:rsidRDefault="005E3AF3" w:rsidP="00EB7964">
      <w:pPr>
        <w:rPr>
          <w:rFonts w:ascii="Palatino Linotype" w:hAnsi="Palatino Linotype"/>
          <w:b/>
          <w:bCs/>
          <w:sz w:val="24"/>
          <w:szCs w:val="24"/>
        </w:rPr>
      </w:pPr>
      <w:r w:rsidRPr="005E3AF3">
        <w:rPr>
          <w:rFonts w:ascii="Palatino Linotype" w:hAnsi="Palatino Linotype"/>
          <w:b/>
          <w:bCs/>
          <w:sz w:val="24"/>
          <w:szCs w:val="24"/>
        </w:rPr>
        <w:t>False Claim #1 – “The Medical Model of Mental Disorders is the Product of Science”</w:t>
      </w:r>
    </w:p>
    <w:p w14:paraId="2753E852" w14:textId="77777777" w:rsidR="00EB7964" w:rsidRDefault="00EB7964" w:rsidP="005E3AF3">
      <w:pPr>
        <w:ind w:firstLine="720"/>
        <w:rPr>
          <w:rFonts w:ascii="Palatino Linotype" w:hAnsi="Palatino Linotype"/>
          <w:sz w:val="24"/>
          <w:szCs w:val="24"/>
        </w:rPr>
      </w:pPr>
    </w:p>
    <w:p w14:paraId="3701A31D" w14:textId="0FB82AF0" w:rsidR="005E3AF3" w:rsidRPr="005E3AF3" w:rsidRDefault="005E3AF3" w:rsidP="005E3AF3">
      <w:pPr>
        <w:ind w:firstLine="720"/>
        <w:rPr>
          <w:rFonts w:ascii="Palatino Linotype" w:hAnsi="Palatino Linotype"/>
          <w:sz w:val="24"/>
          <w:szCs w:val="24"/>
        </w:rPr>
      </w:pPr>
      <w:r w:rsidRPr="005E3AF3">
        <w:rPr>
          <w:rFonts w:ascii="Palatino Linotype" w:hAnsi="Palatino Linotype"/>
          <w:sz w:val="24"/>
          <w:szCs w:val="24"/>
        </w:rPr>
        <w:t>Countless people today believe that psychiatry and its Medical Model are principally scientific in nature and that they were conceived in a long history of applying the scientific process. After all, this is the narrative taught in the majority of medical schools and constantly communicated to both clinicians and to the public. Yet, as key figureheads reveal, the medical/ neo-Kraepelinian/bio-psycho-social (BPS) model is principally a humanistic worldview, rather than a field of science. Renowned psychiatrists Kenneth Kendler and psychiatric phenomenologist Joseph Parnas relay how all approaches to the soul and metaphysical phenomena rely heavily on presuppositional beliefs:</w:t>
      </w:r>
    </w:p>
    <w:p w14:paraId="54DB5D89" w14:textId="77777777" w:rsidR="005E3AF3" w:rsidRPr="005E3AF3" w:rsidRDefault="005E3AF3" w:rsidP="005E3AF3">
      <w:pPr>
        <w:ind w:firstLine="720"/>
        <w:rPr>
          <w:rFonts w:ascii="Palatino Linotype" w:hAnsi="Palatino Linotype"/>
          <w:sz w:val="24"/>
          <w:szCs w:val="24"/>
        </w:rPr>
      </w:pPr>
    </w:p>
    <w:p w14:paraId="7EA02DFA" w14:textId="39FF4F30" w:rsidR="005E3AF3" w:rsidRPr="005E3AF3" w:rsidRDefault="005E3AF3" w:rsidP="00C736A0">
      <w:pPr>
        <w:ind w:left="720"/>
        <w:rPr>
          <w:rFonts w:ascii="Palatino Linotype" w:hAnsi="Palatino Linotype"/>
          <w:sz w:val="24"/>
          <w:szCs w:val="24"/>
        </w:rPr>
      </w:pPr>
      <w:r w:rsidRPr="005E3AF3">
        <w:rPr>
          <w:rFonts w:ascii="Palatino Linotype" w:hAnsi="Palatino Linotype"/>
          <w:sz w:val="24"/>
          <w:szCs w:val="24"/>
        </w:rPr>
        <w:t xml:space="preserve">First, the commonsense idea that good clinicians and scientists see the world as it truly is just by attending to the facts is mistaken. </w:t>
      </w:r>
      <w:r w:rsidRPr="005E3AF3">
        <w:rPr>
          <w:rFonts w:ascii="Palatino Linotype" w:hAnsi="Palatino Linotype"/>
          <w:i/>
          <w:sz w:val="24"/>
          <w:szCs w:val="24"/>
        </w:rPr>
        <w:t xml:space="preserve">Our perceptions of the world are influenced by our theoretical conceptions of it, and in no fields is this more true than psychiatry. . . . </w:t>
      </w:r>
      <w:r w:rsidRPr="005E3AF3">
        <w:rPr>
          <w:rFonts w:ascii="Palatino Linotype" w:hAnsi="Palatino Linotype"/>
          <w:sz w:val="24"/>
          <w:szCs w:val="24"/>
        </w:rPr>
        <w:t xml:space="preserve">Human behavior and experience are so stunningly complex that if we didn’t have preconceived categories—places to put things, including symptoms (such as hallucinations, anxiety), syndromes (say, bulimia, dementia), and processes (for example, transference, acting out)—we would be overwhelmed and helpless. </w:t>
      </w:r>
      <w:r w:rsidRPr="005E3AF3">
        <w:rPr>
          <w:rFonts w:ascii="Palatino Linotype" w:hAnsi="Palatino Linotype"/>
          <w:i/>
          <w:sz w:val="24"/>
          <w:szCs w:val="24"/>
        </w:rPr>
        <w:t xml:space="preserve">But it is not only in our categories that we bring strong a priori assumptions. You cannot work in the field of mental health without having some set of beliefs—examined or otherwise—about the nature of causal processes, about what constitutes a “good explanation,” or about the relative value of symptom-based assessments versus deeper characterizations of psychopathological processes </w:t>
      </w:r>
      <w:r w:rsidRPr="005E3AF3">
        <w:rPr>
          <w:rFonts w:ascii="Palatino Linotype" w:hAnsi="Palatino Linotype"/>
          <w:sz w:val="24"/>
          <w:szCs w:val="24"/>
        </w:rPr>
        <w:t>[emphasis added].</w:t>
      </w:r>
      <w:r w:rsidR="002A4D72">
        <w:rPr>
          <w:rStyle w:val="FootnoteReference"/>
          <w:rFonts w:ascii="Palatino Linotype" w:hAnsi="Palatino Linotype"/>
          <w:sz w:val="24"/>
          <w:szCs w:val="24"/>
        </w:rPr>
        <w:footnoteReference w:id="156"/>
      </w:r>
    </w:p>
    <w:p w14:paraId="363E7D7A" w14:textId="77777777" w:rsidR="00C736A0" w:rsidRDefault="00C736A0" w:rsidP="005E3AF3">
      <w:pPr>
        <w:ind w:firstLine="720"/>
        <w:rPr>
          <w:rFonts w:ascii="Palatino Linotype" w:hAnsi="Palatino Linotype"/>
          <w:sz w:val="24"/>
          <w:szCs w:val="24"/>
        </w:rPr>
      </w:pPr>
    </w:p>
    <w:p w14:paraId="6210CE86" w14:textId="61E8ACEA" w:rsidR="005E3AF3" w:rsidRPr="005E3AF3" w:rsidRDefault="005E3AF3" w:rsidP="005E3AF3">
      <w:pPr>
        <w:ind w:firstLine="720"/>
        <w:rPr>
          <w:rFonts w:ascii="Palatino Linotype" w:hAnsi="Palatino Linotype"/>
          <w:sz w:val="24"/>
          <w:szCs w:val="24"/>
        </w:rPr>
      </w:pPr>
      <w:r w:rsidRPr="005E3AF3">
        <w:rPr>
          <w:rFonts w:ascii="Palatino Linotype" w:hAnsi="Palatino Linotype"/>
          <w:sz w:val="24"/>
          <w:szCs w:val="24"/>
        </w:rPr>
        <w:t xml:space="preserve">As these two psychiatrists rightly discern, each time a person attempts to explain the human psyche and its varied phenomena that individual’s worldview is revealed. The Medical Model simply represents one humanistic attempt to approach and explain </w:t>
      </w:r>
      <w:r w:rsidRPr="005E3AF3">
        <w:rPr>
          <w:rFonts w:ascii="Palatino Linotype" w:hAnsi="Palatino Linotype"/>
          <w:sz w:val="24"/>
          <w:szCs w:val="24"/>
        </w:rPr>
        <w:lastRenderedPageBreak/>
        <w:t>the soul. Kendler and Parnas expound further on how belief guides every aspect of the Medical Model from diagnoses and treatment plans to research theories and methods:</w:t>
      </w:r>
    </w:p>
    <w:p w14:paraId="39CFCA84" w14:textId="77777777" w:rsidR="005E3AF3" w:rsidRPr="005E3AF3" w:rsidRDefault="005E3AF3" w:rsidP="005E3AF3">
      <w:pPr>
        <w:ind w:firstLine="720"/>
        <w:rPr>
          <w:rFonts w:ascii="Palatino Linotype" w:hAnsi="Palatino Linotype"/>
          <w:sz w:val="24"/>
          <w:szCs w:val="24"/>
        </w:rPr>
      </w:pPr>
    </w:p>
    <w:p w14:paraId="02F7321E" w14:textId="06F5DDEA" w:rsidR="005E3AF3" w:rsidRPr="007D43C9" w:rsidRDefault="005E3AF3" w:rsidP="00C736A0">
      <w:pPr>
        <w:ind w:left="720"/>
        <w:rPr>
          <w:rFonts w:ascii="Palatino Linotype" w:hAnsi="Palatino Linotype"/>
          <w:sz w:val="24"/>
          <w:szCs w:val="24"/>
        </w:rPr>
      </w:pPr>
      <w:r w:rsidRPr="005E3AF3">
        <w:rPr>
          <w:rFonts w:ascii="Palatino Linotype" w:hAnsi="Palatino Linotype"/>
          <w:sz w:val="24"/>
          <w:szCs w:val="24"/>
        </w:rPr>
        <w:t>Whether you like it or not, you have a set of tacitly operating philosophical concepts and beliefs that you use to organize your views about the nature of psychiatric illness and its treatment. You can leave these assumptions unexamined, or you can take as critical an approach to these fundamental questions as you should to the differential diagnosis or treatment planning of your patients. Thus, your choice is between following an implicit philosophical framework—which could be wrong, or overly simplistic, or at least misrepresent key aspect of our clinical and research world—and taking the time and effort to develop an explicit and coherent guiding set of theoretical concepts. . . . A reductionist “brain-focused” paradigm is currently becoming increasingly dominant. Advocates of this paradigm argue vigorously that all</w:t>
      </w:r>
      <w:r w:rsidRPr="007D43C9">
        <w:rPr>
          <w:rFonts w:ascii="Palatino Linotype" w:hAnsi="Palatino Linotype"/>
          <w:sz w:val="24"/>
          <w:szCs w:val="24"/>
        </w:rPr>
        <w:t xml:space="preserve"> </w:t>
      </w:r>
      <w:r w:rsidRPr="007D43C9">
        <w:rPr>
          <w:rFonts w:ascii="Palatino Linotype" w:hAnsi="Palatino Linotype"/>
          <w:sz w:val="24"/>
          <w:szCs w:val="24"/>
        </w:rPr>
        <w:t>“real” explanation for psychiatric illness can be found at the molecular level [emphasis added].</w:t>
      </w:r>
      <w:r w:rsidR="0030068D">
        <w:rPr>
          <w:rStyle w:val="FootnoteReference"/>
          <w:rFonts w:ascii="Palatino Linotype" w:hAnsi="Palatino Linotype"/>
          <w:sz w:val="24"/>
          <w:szCs w:val="24"/>
        </w:rPr>
        <w:footnoteReference w:id="157"/>
      </w:r>
    </w:p>
    <w:p w14:paraId="0EB96D3D" w14:textId="77777777" w:rsidR="00C736A0" w:rsidRDefault="00C736A0" w:rsidP="005E3AF3">
      <w:pPr>
        <w:ind w:firstLine="720"/>
        <w:rPr>
          <w:rFonts w:ascii="Palatino Linotype" w:hAnsi="Palatino Linotype"/>
          <w:sz w:val="24"/>
          <w:szCs w:val="24"/>
        </w:rPr>
      </w:pPr>
    </w:p>
    <w:p w14:paraId="604A4C90" w14:textId="16607D73" w:rsidR="005E3AF3" w:rsidRPr="005E3AF3" w:rsidRDefault="005E3AF3" w:rsidP="005E3AF3">
      <w:pPr>
        <w:ind w:firstLine="720"/>
        <w:rPr>
          <w:rFonts w:ascii="Palatino Linotype" w:hAnsi="Palatino Linotype"/>
          <w:sz w:val="24"/>
          <w:szCs w:val="24"/>
        </w:rPr>
      </w:pPr>
      <w:r w:rsidRPr="005E3AF3">
        <w:rPr>
          <w:rFonts w:ascii="Palatino Linotype" w:hAnsi="Palatino Linotype"/>
          <w:sz w:val="24"/>
          <w:szCs w:val="24"/>
        </w:rPr>
        <w:t>The attempt to reduce all of human nature and experiences to biological explanations in accordance with evolutionary theory is key to this BPS worldview. Adjunct professor of psychiatry and director of translational medicine-neuroscience at Novartis Institutes for Biomedical Research, Nassir Ghaemi, explains how the BPS model is a postmodern worldview that is not based upon science but upon relativism and pragmatism:</w:t>
      </w:r>
    </w:p>
    <w:p w14:paraId="1D681BD7" w14:textId="77777777" w:rsidR="005E3AF3" w:rsidRPr="005E3AF3" w:rsidRDefault="005E3AF3" w:rsidP="005E3AF3">
      <w:pPr>
        <w:ind w:firstLine="720"/>
        <w:rPr>
          <w:rFonts w:ascii="Palatino Linotype" w:hAnsi="Palatino Linotype"/>
          <w:sz w:val="24"/>
          <w:szCs w:val="24"/>
        </w:rPr>
      </w:pPr>
    </w:p>
    <w:p w14:paraId="3E7866FD" w14:textId="25676CA5" w:rsidR="005E3AF3" w:rsidRPr="005E3AF3" w:rsidRDefault="005E3AF3" w:rsidP="0030068D">
      <w:pPr>
        <w:ind w:left="720"/>
        <w:rPr>
          <w:rFonts w:ascii="Palatino Linotype" w:hAnsi="Palatino Linotype"/>
          <w:sz w:val="24"/>
          <w:szCs w:val="24"/>
        </w:rPr>
      </w:pPr>
      <w:r w:rsidRPr="005E3AF3">
        <w:rPr>
          <w:rFonts w:ascii="Palatino Linotype" w:hAnsi="Palatino Linotype"/>
          <w:sz w:val="24"/>
          <w:szCs w:val="24"/>
        </w:rPr>
        <w:t>I think the problem goes beyond the issue of whether it was a model in a scientific sense, as opposed to a more general approach to a worldview. The key problem, if I were to simplify it in one sentence, is that the BPS model for the past half century has served as a postmodernist excuse for eclecticism. Let me explain this sentence</w:t>
      </w:r>
      <w:r w:rsidR="0030068D">
        <w:rPr>
          <w:rFonts w:ascii="Palatino Linotype" w:hAnsi="Palatino Linotype"/>
          <w:sz w:val="24"/>
          <w:szCs w:val="24"/>
        </w:rPr>
        <w:t xml:space="preserve">… </w:t>
      </w:r>
      <w:r w:rsidRPr="005E3AF3">
        <w:rPr>
          <w:rFonts w:ascii="Palatino Linotype" w:hAnsi="Palatino Linotype"/>
          <w:sz w:val="24"/>
          <w:szCs w:val="24"/>
        </w:rPr>
        <w:t xml:space="preserve">Postmodernism (PM), in my usage, is a philosophy, rooted in Schopenhauer and Nietzsche, and expressed most clearly later by Heidegger and Foucault. It rejects the Enlightenment heritage in its claim that science can replace religion as the source of independent truths. (There is more to it; but let’s focus on this point). PM in this classic form is relativistic and critical (or cynical) about science in general, and psychiatry in particular (the target of much of Foucault’s ire). If PM is accepted, there are two options: nothing is true—nihilism; or anything can be true—eclecticism. That is how the BPS model has played out in the past half century. Mental health clinicians do whatever they </w:t>
      </w:r>
      <w:r w:rsidRPr="005E3AF3">
        <w:rPr>
          <w:rFonts w:ascii="Palatino Linotype" w:hAnsi="Palatino Linotype"/>
          <w:sz w:val="24"/>
          <w:szCs w:val="24"/>
        </w:rPr>
        <w:lastRenderedPageBreak/>
        <w:t>like, and they claim support for that anarchy in the BPS approach.</w:t>
      </w:r>
      <w:r w:rsidR="008428ED">
        <w:rPr>
          <w:rStyle w:val="FootnoteReference"/>
          <w:rFonts w:ascii="Palatino Linotype" w:hAnsi="Palatino Linotype"/>
          <w:sz w:val="24"/>
          <w:szCs w:val="24"/>
        </w:rPr>
        <w:footnoteReference w:id="158"/>
      </w:r>
    </w:p>
    <w:p w14:paraId="1D32C58A" w14:textId="77777777" w:rsidR="008428ED" w:rsidRDefault="008428ED" w:rsidP="005E3AF3">
      <w:pPr>
        <w:ind w:firstLine="720"/>
        <w:rPr>
          <w:rFonts w:ascii="Palatino Linotype" w:hAnsi="Palatino Linotype"/>
          <w:sz w:val="24"/>
          <w:szCs w:val="24"/>
        </w:rPr>
      </w:pPr>
    </w:p>
    <w:p w14:paraId="2C13D2A6" w14:textId="70FC2D76" w:rsidR="005E3AF3" w:rsidRPr="005E3AF3" w:rsidRDefault="005E3AF3" w:rsidP="005E3AF3">
      <w:pPr>
        <w:ind w:firstLine="720"/>
        <w:rPr>
          <w:rFonts w:ascii="Palatino Linotype" w:hAnsi="Palatino Linotype"/>
          <w:sz w:val="24"/>
          <w:szCs w:val="24"/>
        </w:rPr>
      </w:pPr>
      <w:r w:rsidRPr="005E3AF3">
        <w:rPr>
          <w:rFonts w:ascii="Palatino Linotype" w:hAnsi="Palatino Linotype"/>
          <w:sz w:val="24"/>
          <w:szCs w:val="24"/>
        </w:rPr>
        <w:t>As Ghaemi expresses, postmodernists’ desire to replace religious explanations of humanity’s spiritual nature drives their relentless pursuit of establishing a worldview apart from Scripture from which to approach the human soul and its metaphysical phenomena. This fact explains why the Bible and psychiatry have many shared central themes—though explained and approached from opposing epistemologies. These discussions include humanity’s origins, the metaphysical soul/mind, hope and deliverance, morality, relationships, identity, and causes of and executive control over thoughts and behavior. Both perspectives describe and discuss in great detail the same human phenomena and experiences that are impairing and destructive (e.g., delusional thinking and human suffering/distress). As professors of psychiatry Roland Littlewood and Maurice Lipsedge reflect, “religion and mental illness may both be alternative responses to the same situation.”</w:t>
      </w:r>
      <w:r w:rsidR="008428ED">
        <w:rPr>
          <w:rStyle w:val="FootnoteReference"/>
          <w:rFonts w:ascii="Palatino Linotype" w:hAnsi="Palatino Linotype"/>
          <w:sz w:val="24"/>
          <w:szCs w:val="24"/>
        </w:rPr>
        <w:footnoteReference w:id="159"/>
      </w:r>
      <w:r w:rsidRPr="005E3AF3">
        <w:rPr>
          <w:rFonts w:ascii="Palatino Linotype" w:hAnsi="Palatino Linotype"/>
          <w:sz w:val="24"/>
          <w:szCs w:val="24"/>
        </w:rPr>
        <w:t xml:space="preserve"> Editor-in-Chief Emeritus of the Psychiatric Times, Ronald Pies, agrees with the aforementioned and many other psychiatrists that the bio-psycho-social or Medical Model is foundationally a worldview:</w:t>
      </w:r>
    </w:p>
    <w:p w14:paraId="40EF8672" w14:textId="77777777" w:rsidR="00961C53" w:rsidRPr="00961C53" w:rsidRDefault="00961C53" w:rsidP="00C11BA8">
      <w:pPr>
        <w:rPr>
          <w:rFonts w:ascii="Palatino Linotype" w:hAnsi="Palatino Linotype"/>
          <w:sz w:val="24"/>
          <w:szCs w:val="24"/>
        </w:rPr>
      </w:pPr>
    </w:p>
    <w:p w14:paraId="30706973" w14:textId="446E10ED" w:rsidR="00961C53" w:rsidRPr="00961C53" w:rsidRDefault="00961C53" w:rsidP="00961C53">
      <w:pPr>
        <w:ind w:firstLine="720"/>
        <w:rPr>
          <w:rFonts w:ascii="Palatino Linotype" w:hAnsi="Palatino Linotype"/>
          <w:sz w:val="24"/>
          <w:szCs w:val="24"/>
        </w:rPr>
      </w:pPr>
      <w:r w:rsidRPr="00961C53">
        <w:rPr>
          <w:rFonts w:ascii="Palatino Linotype" w:hAnsi="Palatino Linotype"/>
          <w:sz w:val="24"/>
          <w:szCs w:val="24"/>
        </w:rPr>
        <w:t>I have argued here that the original BPSM is often held to a standard more befitting a true “scientific model”—like the Bohr atom—when, in reality, what George Engel described is better characterized as a paradigm: a world-view with clear implications for practice.</w:t>
      </w:r>
      <w:r w:rsidR="008428ED">
        <w:rPr>
          <w:rStyle w:val="FootnoteReference"/>
          <w:rFonts w:ascii="Palatino Linotype" w:hAnsi="Palatino Linotype"/>
          <w:sz w:val="24"/>
          <w:szCs w:val="24"/>
        </w:rPr>
        <w:footnoteReference w:id="160"/>
      </w:r>
    </w:p>
    <w:p w14:paraId="36A3D471" w14:textId="77777777" w:rsidR="00E00A01" w:rsidRDefault="00E00A01" w:rsidP="00961C53">
      <w:pPr>
        <w:ind w:firstLine="720"/>
        <w:rPr>
          <w:rFonts w:ascii="Palatino Linotype" w:hAnsi="Palatino Linotype"/>
          <w:sz w:val="24"/>
          <w:szCs w:val="24"/>
        </w:rPr>
      </w:pPr>
    </w:p>
    <w:p w14:paraId="638A3166" w14:textId="7786BF2B" w:rsidR="00961C53" w:rsidRPr="00961C53" w:rsidRDefault="00961C53" w:rsidP="00961C53">
      <w:pPr>
        <w:ind w:firstLine="720"/>
        <w:rPr>
          <w:rFonts w:ascii="Palatino Linotype" w:hAnsi="Palatino Linotype"/>
          <w:sz w:val="24"/>
          <w:szCs w:val="24"/>
        </w:rPr>
      </w:pPr>
      <w:r w:rsidRPr="00961C53">
        <w:rPr>
          <w:rFonts w:ascii="Palatino Linotype" w:hAnsi="Palatino Linotype"/>
          <w:sz w:val="24"/>
          <w:szCs w:val="24"/>
        </w:rPr>
        <w:t>While proponents of the BPS/Medical Model consider the metaphysical mind/psyche and human relationships to be relative, those like Pies who hold to this worldview overwhelmingly prefer the biological tenet, thereby reducing their explanations, interpretations, and applications into this narrow view. These psychiatrists admit that the substance of human nature consists of more than just biology while they at the same time attempt to classify the mind and its executive function over human relationships as being primarily medical problems. These “bio-psycho-socialists,” as they prefer to be known, insist, however, that they are not reductionists but pluralists.</w:t>
      </w:r>
      <w:r w:rsidR="008428ED">
        <w:rPr>
          <w:rStyle w:val="FootnoteReference"/>
          <w:rFonts w:ascii="Palatino Linotype" w:hAnsi="Palatino Linotype"/>
          <w:sz w:val="24"/>
          <w:szCs w:val="24"/>
        </w:rPr>
        <w:footnoteReference w:id="161"/>
      </w:r>
    </w:p>
    <w:p w14:paraId="645AD514" w14:textId="77777777" w:rsidR="00E00A01" w:rsidRDefault="00E00A01" w:rsidP="00961C53">
      <w:pPr>
        <w:ind w:firstLine="720"/>
        <w:rPr>
          <w:rFonts w:ascii="Palatino Linotype" w:hAnsi="Palatino Linotype"/>
          <w:sz w:val="24"/>
          <w:szCs w:val="24"/>
        </w:rPr>
      </w:pPr>
    </w:p>
    <w:p w14:paraId="479600FA" w14:textId="4619BC55" w:rsidR="00961C53" w:rsidRPr="00961C53" w:rsidRDefault="00961C53" w:rsidP="00961C53">
      <w:pPr>
        <w:ind w:firstLine="720"/>
        <w:rPr>
          <w:rFonts w:ascii="Palatino Linotype" w:hAnsi="Palatino Linotype"/>
          <w:sz w:val="24"/>
          <w:szCs w:val="24"/>
        </w:rPr>
      </w:pPr>
      <w:r w:rsidRPr="00961C53">
        <w:rPr>
          <w:rFonts w:ascii="Palatino Linotype" w:hAnsi="Palatino Linotype"/>
          <w:sz w:val="24"/>
          <w:szCs w:val="24"/>
        </w:rPr>
        <w:t>But if pluralism truly is necessary to approach human nature, then the spiritual mind must be considered as principally causing mental struggles and producing physical effects. Moreover, if pluralism is required to treat human nature, then dualism rather than materialism must be esteemed as best defining and explaining human nature, and a spiritual remedy rather than a biological procedure should be considered as healing the metaphysical soul/psyche/ mind.</w:t>
      </w:r>
    </w:p>
    <w:p w14:paraId="13CB1F3F" w14:textId="77777777" w:rsidR="00E00A01" w:rsidRDefault="00E00A01" w:rsidP="00961C53">
      <w:pPr>
        <w:ind w:firstLine="720"/>
        <w:rPr>
          <w:rFonts w:ascii="Palatino Linotype" w:hAnsi="Palatino Linotype"/>
          <w:sz w:val="24"/>
          <w:szCs w:val="24"/>
        </w:rPr>
      </w:pPr>
    </w:p>
    <w:p w14:paraId="60B05860" w14:textId="0BAD560E" w:rsidR="00961C53" w:rsidRPr="00961C53" w:rsidRDefault="00961C53" w:rsidP="00961C53">
      <w:pPr>
        <w:ind w:firstLine="720"/>
        <w:rPr>
          <w:rFonts w:ascii="Palatino Linotype" w:hAnsi="Palatino Linotype"/>
          <w:sz w:val="24"/>
          <w:szCs w:val="24"/>
        </w:rPr>
      </w:pPr>
      <w:r w:rsidRPr="00961C53">
        <w:rPr>
          <w:rFonts w:ascii="Palatino Linotype" w:hAnsi="Palatino Linotype"/>
          <w:sz w:val="24"/>
          <w:szCs w:val="24"/>
        </w:rPr>
        <w:t>Unfortunately, a cursory glance behind the curtain of the Medical Model reveals that humanism rather than the scientific method has constructed this worldview. Thus, in considering why the Medical Model is a myth, it is important to better examine the belief’s history, the humanistic faith driving it, and the available evidence that explains the belief’s origins, development, and unfortunate results.</w:t>
      </w:r>
    </w:p>
    <w:p w14:paraId="683B47BE" w14:textId="77777777" w:rsidR="00961C53" w:rsidRPr="00961C53" w:rsidRDefault="00961C53" w:rsidP="00961C53">
      <w:pPr>
        <w:ind w:firstLine="720"/>
        <w:rPr>
          <w:rFonts w:ascii="Palatino Linotype" w:hAnsi="Palatino Linotype"/>
          <w:sz w:val="24"/>
          <w:szCs w:val="24"/>
        </w:rPr>
      </w:pPr>
    </w:p>
    <w:p w14:paraId="453C414E" w14:textId="77777777" w:rsidR="00961C53" w:rsidRPr="00961C53" w:rsidRDefault="00961C53" w:rsidP="00961C53">
      <w:pPr>
        <w:ind w:firstLine="720"/>
        <w:rPr>
          <w:rFonts w:ascii="Palatino Linotype" w:hAnsi="Palatino Linotype"/>
          <w:sz w:val="24"/>
          <w:szCs w:val="24"/>
        </w:rPr>
      </w:pPr>
    </w:p>
    <w:p w14:paraId="33A21BC9" w14:textId="77777777" w:rsidR="00961C53" w:rsidRPr="00961C53" w:rsidRDefault="00961C53" w:rsidP="00C11BA8">
      <w:pPr>
        <w:jc w:val="center"/>
        <w:rPr>
          <w:rFonts w:ascii="Palatino Linotype" w:hAnsi="Palatino Linotype"/>
          <w:b/>
          <w:bCs/>
          <w:sz w:val="24"/>
          <w:szCs w:val="24"/>
        </w:rPr>
      </w:pPr>
      <w:r w:rsidRPr="00961C53">
        <w:rPr>
          <w:rFonts w:ascii="Palatino Linotype" w:hAnsi="Palatino Linotype"/>
          <w:b/>
          <w:bCs/>
          <w:sz w:val="24"/>
          <w:szCs w:val="24"/>
        </w:rPr>
        <w:t>The Medical Model is Based Upon a Misinterpretation of Scripture</w:t>
      </w:r>
    </w:p>
    <w:p w14:paraId="4F2C0A7B" w14:textId="1A95405B" w:rsidR="00E00A01" w:rsidRPr="00E00A01" w:rsidRDefault="00961C53" w:rsidP="00C11BA8">
      <w:pPr>
        <w:ind w:firstLine="720"/>
        <w:rPr>
          <w:rFonts w:ascii="Palatino Linotype" w:hAnsi="Palatino Linotype"/>
          <w:sz w:val="24"/>
          <w:szCs w:val="24"/>
        </w:rPr>
      </w:pPr>
      <w:r w:rsidRPr="00961C53">
        <w:rPr>
          <w:rFonts w:ascii="Palatino Linotype" w:hAnsi="Palatino Linotype"/>
          <w:sz w:val="24"/>
          <w:szCs w:val="24"/>
        </w:rPr>
        <w:t>The history of the medical model largely originates with one of the most influential men in the formation of psychiatric theory, Benjamin Rush, whom the American Psychiatric Association (APA) chose to commemorate by enshrining his likeness as its official logo. Not only was Rush one of the first to suggest a medical model of the mind/soul, which differed from that of the Scriptures he claimed to esteem, but also biological reductionism (known also as materialism and scientism) and the medical model are largely based upon Rush’s proposed beliefs. Historian Stephen Fried remarks that “At Pennsylvania Hospital he enacted this philosophy, laying the</w:t>
      </w:r>
      <w:r w:rsidR="00C11BA8">
        <w:rPr>
          <w:rFonts w:ascii="Palatino Linotype" w:hAnsi="Palatino Linotype"/>
          <w:sz w:val="24"/>
          <w:szCs w:val="24"/>
        </w:rPr>
        <w:t xml:space="preserve"> </w:t>
      </w:r>
      <w:r w:rsidR="00E00A01" w:rsidRPr="00E00A01">
        <w:rPr>
          <w:rFonts w:ascii="Palatino Linotype" w:hAnsi="Palatino Linotype"/>
          <w:sz w:val="24"/>
          <w:szCs w:val="24"/>
        </w:rPr>
        <w:t>foundation for the development of psychiatry, clinical psychology, and addiction medicine.”</w:t>
      </w:r>
      <w:r w:rsidR="00C11BA8">
        <w:rPr>
          <w:rStyle w:val="FootnoteReference"/>
          <w:rFonts w:ascii="Palatino Linotype" w:hAnsi="Palatino Linotype"/>
          <w:sz w:val="24"/>
          <w:szCs w:val="24"/>
        </w:rPr>
        <w:footnoteReference w:id="162"/>
      </w:r>
    </w:p>
    <w:p w14:paraId="0B4BAD54" w14:textId="77777777" w:rsidR="00C11BA8" w:rsidRDefault="00C11BA8" w:rsidP="00E00A01">
      <w:pPr>
        <w:ind w:firstLine="720"/>
        <w:rPr>
          <w:rFonts w:ascii="Palatino Linotype" w:hAnsi="Palatino Linotype"/>
          <w:sz w:val="24"/>
          <w:szCs w:val="24"/>
        </w:rPr>
      </w:pPr>
    </w:p>
    <w:p w14:paraId="679AF144" w14:textId="193E6F9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In one speech presented to the American Philosophical Society, “An Inquiry into the Influence of Physical Causes on the Moral Faculty,” Rush established the main tenets of this worldview. Fried comments on how Rush’s philosophy altered history:</w:t>
      </w:r>
    </w:p>
    <w:p w14:paraId="3E269CB6" w14:textId="77777777" w:rsidR="00E00A01" w:rsidRPr="00E00A01" w:rsidRDefault="00E00A01" w:rsidP="00E00A01">
      <w:pPr>
        <w:ind w:firstLine="720"/>
        <w:rPr>
          <w:rFonts w:ascii="Palatino Linotype" w:hAnsi="Palatino Linotype"/>
          <w:sz w:val="24"/>
          <w:szCs w:val="24"/>
        </w:rPr>
      </w:pPr>
    </w:p>
    <w:p w14:paraId="6A56D83E" w14:textId="651084C4" w:rsidR="00E00A01" w:rsidRPr="00E00A01" w:rsidRDefault="00E00A01" w:rsidP="00C11BA8">
      <w:pPr>
        <w:ind w:left="720"/>
        <w:rPr>
          <w:rFonts w:ascii="Palatino Linotype" w:hAnsi="Palatino Linotype"/>
          <w:sz w:val="24"/>
          <w:szCs w:val="24"/>
        </w:rPr>
      </w:pPr>
      <w:r w:rsidRPr="00E00A01">
        <w:rPr>
          <w:rFonts w:ascii="Palatino Linotype" w:hAnsi="Palatino Linotype"/>
          <w:sz w:val="24"/>
          <w:szCs w:val="24"/>
        </w:rPr>
        <w:t xml:space="preserve">Rush began by defining the “moral faculty” as the “power in the human mind of distinguishing and choosing good and evil . . . virtue or vice.” He then laid out the crux of his argument: that there were “physical causes” for many actions that </w:t>
      </w:r>
      <w:r w:rsidRPr="00E00A01">
        <w:rPr>
          <w:rFonts w:ascii="Palatino Linotype" w:hAnsi="Palatino Linotype"/>
          <w:sz w:val="24"/>
          <w:szCs w:val="24"/>
        </w:rPr>
        <w:lastRenderedPageBreak/>
        <w:t>had previously been viewed through the prism of morality and will. Much of what was labeled immorality could, in fact, be a manifestation of physical illness—requiring medical treatment, and prayers that the medical treatment worked.</w:t>
      </w:r>
      <w:r w:rsidR="00C11BA8">
        <w:rPr>
          <w:rStyle w:val="FootnoteReference"/>
          <w:rFonts w:ascii="Palatino Linotype" w:hAnsi="Palatino Linotype"/>
          <w:sz w:val="24"/>
          <w:szCs w:val="24"/>
        </w:rPr>
        <w:footnoteReference w:id="163"/>
      </w:r>
    </w:p>
    <w:p w14:paraId="7396BF9E" w14:textId="77777777" w:rsidR="00C11BA8" w:rsidRDefault="00C11BA8" w:rsidP="00E00A01">
      <w:pPr>
        <w:ind w:firstLine="720"/>
        <w:rPr>
          <w:rFonts w:ascii="Palatino Linotype" w:hAnsi="Palatino Linotype"/>
          <w:sz w:val="24"/>
          <w:szCs w:val="24"/>
        </w:rPr>
      </w:pPr>
    </w:p>
    <w:p w14:paraId="20B2B278" w14:textId="4491B2FF" w:rsidR="00E00A01" w:rsidRDefault="00E00A01" w:rsidP="00E00A01">
      <w:pPr>
        <w:ind w:firstLine="720"/>
        <w:rPr>
          <w:rFonts w:ascii="Palatino Linotype" w:hAnsi="Palatino Linotype"/>
          <w:sz w:val="24"/>
          <w:szCs w:val="24"/>
        </w:rPr>
      </w:pPr>
      <w:r w:rsidRPr="00E00A01">
        <w:rPr>
          <w:rFonts w:ascii="Palatino Linotype" w:hAnsi="Palatino Linotype"/>
          <w:sz w:val="24"/>
          <w:szCs w:val="24"/>
        </w:rPr>
        <w:t>This particular speech was eventually published,</w:t>
      </w:r>
      <w:r w:rsidR="006935C2">
        <w:rPr>
          <w:rStyle w:val="FootnoteReference"/>
          <w:rFonts w:ascii="Palatino Linotype" w:hAnsi="Palatino Linotype"/>
          <w:sz w:val="24"/>
          <w:szCs w:val="24"/>
        </w:rPr>
        <w:footnoteReference w:id="164"/>
      </w:r>
      <w:r w:rsidRPr="00E00A01">
        <w:rPr>
          <w:rFonts w:ascii="Palatino Linotype" w:hAnsi="Palatino Linotype"/>
          <w:sz w:val="24"/>
          <w:szCs w:val="24"/>
        </w:rPr>
        <w:t xml:space="preserve"> and upon reading the early text in a letter, Rush’s good friend John Adams warned Rush in response: “You will be accused of materialism and consequently of Atheism.”</w:t>
      </w:r>
      <w:r w:rsidR="006935C2">
        <w:rPr>
          <w:rStyle w:val="FootnoteReference"/>
          <w:rFonts w:ascii="Palatino Linotype" w:hAnsi="Palatino Linotype"/>
          <w:sz w:val="24"/>
          <w:szCs w:val="24"/>
        </w:rPr>
        <w:footnoteReference w:id="165"/>
      </w:r>
      <w:r w:rsidRPr="00E00A01">
        <w:rPr>
          <w:rFonts w:ascii="Palatino Linotype" w:hAnsi="Palatino Linotype"/>
          <w:sz w:val="24"/>
          <w:szCs w:val="24"/>
        </w:rPr>
        <w:t xml:space="preserve"> Adams rightly understood that Rush’s reducing human nature to materialistic faith was a denial of the biblical account of God’s creating mankind both in God’s spiritual image and with a material body (dualism). Ultimately, it was a denial of the biblical epistemology vital to shape one’s worldview and to rightly explain the human soul.</w:t>
      </w:r>
    </w:p>
    <w:p w14:paraId="6BD8A8B6" w14:textId="77777777" w:rsidR="006935C2" w:rsidRPr="00E00A01" w:rsidRDefault="006935C2" w:rsidP="00E00A01">
      <w:pPr>
        <w:ind w:firstLine="720"/>
        <w:rPr>
          <w:rFonts w:ascii="Palatino Linotype" w:hAnsi="Palatino Linotype"/>
          <w:sz w:val="24"/>
          <w:szCs w:val="24"/>
        </w:rPr>
      </w:pPr>
    </w:p>
    <w:p w14:paraId="0275674F" w14:textId="06891A3D"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Despite his friend’s clear and strong warning, Rush chose to publicly introduce his conjecture. Today, numerous influential psychiatrists such as Nancy Andreasen recognize that Rush’s “philosophy of Enlightenment . . . shaped the development of modern psychiatry.” She remarks on how “its key influence was its emphasis on the dignity of the individual human being and the importance of humanism.”</w:t>
      </w:r>
      <w:r w:rsidR="006935C2">
        <w:rPr>
          <w:rStyle w:val="FootnoteReference"/>
          <w:rFonts w:ascii="Palatino Linotype" w:hAnsi="Palatino Linotype"/>
          <w:sz w:val="24"/>
          <w:szCs w:val="24"/>
        </w:rPr>
        <w:footnoteReference w:id="166"/>
      </w:r>
      <w:r w:rsidRPr="00E00A01">
        <w:rPr>
          <w:rFonts w:ascii="Palatino Linotype" w:hAnsi="Palatino Linotype"/>
          <w:sz w:val="24"/>
          <w:szCs w:val="24"/>
        </w:rPr>
        <w:t xml:space="preserve"> Rush’s “theory of everything” concerning the soul, known today as “materialism,” “scientism,” and “biological reductionism,” dominates humanistic faith.</w:t>
      </w:r>
    </w:p>
    <w:p w14:paraId="075527AD" w14:textId="77777777" w:rsidR="006935C2" w:rsidRDefault="006935C2" w:rsidP="00E00A01">
      <w:pPr>
        <w:ind w:firstLine="720"/>
        <w:rPr>
          <w:rFonts w:ascii="Palatino Linotype" w:hAnsi="Palatino Linotype"/>
          <w:sz w:val="24"/>
          <w:szCs w:val="24"/>
        </w:rPr>
      </w:pPr>
    </w:p>
    <w:p w14:paraId="6D0900A3" w14:textId="1B758AA9"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Rush’s worldview was not based upon scientific discovery or empirical data. Instead, in an ironic and disturbing twist, his faith in materialism was formed largely upon a faulty interpretation of the Word of God. In contrast to Scripture’s clear teaching of a metaphysical, moral, and fragile human soul, Rush contrived the fledgling Medical Model from his own biblical eisegesis:</w:t>
      </w:r>
    </w:p>
    <w:p w14:paraId="7AC5305A" w14:textId="77777777" w:rsidR="00E00A01" w:rsidRDefault="00E00A01" w:rsidP="003D029B">
      <w:pPr>
        <w:ind w:firstLine="720"/>
        <w:rPr>
          <w:rFonts w:ascii="Palatino Linotype" w:hAnsi="Palatino Linotype"/>
          <w:sz w:val="24"/>
          <w:szCs w:val="24"/>
        </w:rPr>
      </w:pPr>
    </w:p>
    <w:p w14:paraId="09E46E9D" w14:textId="66FC612B" w:rsidR="00E00A01" w:rsidRPr="00E00A01" w:rsidRDefault="00E00A01" w:rsidP="00C11BA8">
      <w:pPr>
        <w:ind w:left="720"/>
        <w:rPr>
          <w:rFonts w:ascii="Palatino Linotype" w:hAnsi="Palatino Linotype"/>
          <w:sz w:val="24"/>
          <w:szCs w:val="24"/>
        </w:rPr>
      </w:pPr>
      <w:r w:rsidRPr="00E00A01">
        <w:rPr>
          <w:rFonts w:ascii="Palatino Linotype" w:hAnsi="Palatino Linotype"/>
          <w:sz w:val="24"/>
          <w:szCs w:val="24"/>
        </w:rPr>
        <w:t xml:space="preserve">To the cases that have been mentioned, I shall only add, that, Nebuchadnezzar was cured of his pride by means of solitude and vegetable diet. Saul was cured of his evil spirit, by means of David’s harp, and St. Paul expressly says, “I keep my body under, and bring it into subjection, lest that by any means, when I have </w:t>
      </w:r>
      <w:r w:rsidRPr="00E00A01">
        <w:rPr>
          <w:rFonts w:ascii="Palatino Linotype" w:hAnsi="Palatino Linotype"/>
          <w:sz w:val="24"/>
          <w:szCs w:val="24"/>
        </w:rPr>
        <w:lastRenderedPageBreak/>
        <w:t>preached to others, I myself should be cast-away.” But I will go one step further, and add, in favour of divine influence upon the moral principle, that in those extraordinary cases, where bad men are suddenly reformed without the instrumentality of physical, moral or rational causes, I believe that the organization of those arts of the body, in which the faculties of the mind are seated, undergoes physical change, and hence the expression of a “new creature.” St. Paul was suddenly transformed from a persecutor into a man of a gentle and amiable spirit. The manner in which this change was effected upon his mind, he tells us in the following words: “Neither circumcision availeth any,” which is made use of in the Scriptures to denote this change is proper in literal, as well as figurative sense. It is probably the beginning of that perfect renovation of the human body, which is predicted by St. Paul in the following words: “For our conversation is in heaven, from whence we look for the Savior, who shall change our vile bodies, that they may be fashioned according to his own glorious body.”</w:t>
      </w:r>
      <w:r w:rsidR="006478FB">
        <w:rPr>
          <w:rStyle w:val="FootnoteReference"/>
          <w:rFonts w:ascii="Palatino Linotype" w:hAnsi="Palatino Linotype"/>
          <w:sz w:val="24"/>
          <w:szCs w:val="24"/>
        </w:rPr>
        <w:footnoteReference w:id="167"/>
      </w:r>
    </w:p>
    <w:p w14:paraId="79D4235F" w14:textId="77777777" w:rsidR="002A4152" w:rsidRDefault="002A4152" w:rsidP="00E00A01">
      <w:pPr>
        <w:ind w:firstLine="720"/>
        <w:rPr>
          <w:rFonts w:ascii="Palatino Linotype" w:hAnsi="Palatino Linotype"/>
          <w:sz w:val="24"/>
          <w:szCs w:val="24"/>
        </w:rPr>
      </w:pPr>
    </w:p>
    <w:p w14:paraId="1B743EFA" w14:textId="2B410E73"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The Medical Model was largely developed not out of science but out of the faith of a man who chose to pervert the Holy Bible to fit his own agenda, though he still claimed faith in Christ. From that point in history, secularists have built upon Rush’s original construct, with the central premise remaining unchanged.</w:t>
      </w:r>
    </w:p>
    <w:p w14:paraId="603EF1F4" w14:textId="77777777" w:rsidR="002A4152" w:rsidRDefault="002A4152" w:rsidP="002A4152">
      <w:pPr>
        <w:rPr>
          <w:rFonts w:ascii="Palatino Linotype" w:hAnsi="Palatino Linotype"/>
          <w:sz w:val="24"/>
          <w:szCs w:val="24"/>
        </w:rPr>
      </w:pPr>
    </w:p>
    <w:p w14:paraId="41D9FD4B" w14:textId="5A5DEC4B" w:rsidR="00E00A01" w:rsidRPr="00E00A01" w:rsidRDefault="00E00A01" w:rsidP="002A4152">
      <w:pPr>
        <w:jc w:val="center"/>
        <w:rPr>
          <w:rFonts w:ascii="Palatino Linotype" w:hAnsi="Palatino Linotype"/>
          <w:b/>
          <w:bCs/>
          <w:sz w:val="24"/>
          <w:szCs w:val="24"/>
        </w:rPr>
      </w:pPr>
      <w:r w:rsidRPr="00E00A01">
        <w:rPr>
          <w:rFonts w:ascii="Palatino Linotype" w:hAnsi="Palatino Linotype"/>
          <w:b/>
          <w:bCs/>
          <w:sz w:val="24"/>
          <w:szCs w:val="24"/>
        </w:rPr>
        <w:t>The Medical Model is Applied as a Replacement of Biblical Soul Care</w:t>
      </w:r>
    </w:p>
    <w:p w14:paraId="62D6FCDD" w14:textId="6A3EB92D"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While most secularists accurately attribute the Medical Model’s origins to Rush, they fail to acknowledge the faulty foundation of his theory. Sadly, not only is the Medical Model constructed on a mishandling of Scripture rather than the processes of the scientific method, but biological reductionists have also funded and developed the worldview over the last two hundred years as an attempt to replace Christianity with humanistic faith. This faith and effort to replace biblical epistemology, anthropology, and phenomenology began in earnest to be viewed as a scientific field during the rise of Nazi Germany under the leadership of the most prominent eugenic psychiatrist Emil Kraepelin.</w:t>
      </w:r>
      <w:r w:rsidR="006478FB">
        <w:rPr>
          <w:rStyle w:val="FootnoteReference"/>
          <w:rFonts w:ascii="Palatino Linotype" w:hAnsi="Palatino Linotype"/>
          <w:sz w:val="24"/>
          <w:szCs w:val="24"/>
        </w:rPr>
        <w:footnoteReference w:id="168"/>
      </w:r>
      <w:r w:rsidRPr="00E00A01">
        <w:rPr>
          <w:rFonts w:ascii="Palatino Linotype" w:hAnsi="Palatino Linotype"/>
          <w:sz w:val="24"/>
          <w:szCs w:val="24"/>
        </w:rPr>
        <w:t xml:space="preserve"> Harvard psychiatrist Robert Lifton notes:</w:t>
      </w:r>
    </w:p>
    <w:p w14:paraId="6CAF8339" w14:textId="77777777" w:rsidR="00E00A01" w:rsidRPr="00E00A01" w:rsidRDefault="00E00A01" w:rsidP="00E00A01">
      <w:pPr>
        <w:ind w:firstLine="720"/>
        <w:rPr>
          <w:rFonts w:ascii="Palatino Linotype" w:hAnsi="Palatino Linotype"/>
          <w:sz w:val="24"/>
          <w:szCs w:val="24"/>
        </w:rPr>
      </w:pPr>
    </w:p>
    <w:p w14:paraId="39CCA56C" w14:textId="23A4F1E6" w:rsidR="00E00A01" w:rsidRPr="00E00A01" w:rsidRDefault="00E00A01" w:rsidP="006478FB">
      <w:pPr>
        <w:ind w:left="720"/>
        <w:rPr>
          <w:rFonts w:ascii="Palatino Linotype" w:hAnsi="Palatino Linotype"/>
          <w:sz w:val="24"/>
          <w:szCs w:val="24"/>
        </w:rPr>
      </w:pPr>
      <w:r w:rsidRPr="00E00A01">
        <w:rPr>
          <w:rFonts w:ascii="Palatino Linotype" w:hAnsi="Palatino Linotype"/>
          <w:sz w:val="24"/>
          <w:szCs w:val="24"/>
        </w:rPr>
        <w:t>A Nazi version of holistic medicine that would “put in the foreground . . . questions of the psyche that had been neglected</w:t>
      </w:r>
      <w:r w:rsidR="006478FB">
        <w:rPr>
          <w:rFonts w:ascii="Palatino Linotype" w:hAnsi="Palatino Linotype"/>
          <w:sz w:val="24"/>
          <w:szCs w:val="24"/>
        </w:rPr>
        <w:t xml:space="preserve">…” </w:t>
      </w:r>
      <w:r w:rsidRPr="00E00A01">
        <w:rPr>
          <w:rFonts w:ascii="Palatino Linotype" w:hAnsi="Palatino Linotype"/>
          <w:sz w:val="24"/>
          <w:szCs w:val="24"/>
        </w:rPr>
        <w:t xml:space="preserve">This worldview replaced two false doctrines—that of Christianity, which understood human beings “only in a </w:t>
      </w:r>
      <w:r w:rsidRPr="00E00A01">
        <w:rPr>
          <w:rFonts w:ascii="Palatino Linotype" w:hAnsi="Palatino Linotype"/>
          <w:sz w:val="24"/>
          <w:szCs w:val="24"/>
        </w:rPr>
        <w:lastRenderedPageBreak/>
        <w:t>spiritual sense”; and that of the French Revolution, which claimed that “all human beings are equal”—both of which, according to [Dr. Johann] S., “came into conflict</w:t>
      </w:r>
      <w:r w:rsidR="006478FB">
        <w:rPr>
          <w:rFonts w:ascii="Palatino Linotype" w:hAnsi="Palatino Linotype"/>
          <w:sz w:val="24"/>
          <w:szCs w:val="24"/>
        </w:rPr>
        <w:t xml:space="preserve"> </w:t>
      </w:r>
      <w:r w:rsidRPr="00E00A01">
        <w:rPr>
          <w:rFonts w:ascii="Palatino Linotype" w:hAnsi="Palatino Linotype"/>
          <w:sz w:val="24"/>
          <w:szCs w:val="24"/>
        </w:rPr>
        <w:t>with biological experience. That is, it was all a matter of scientific biology and of community.</w:t>
      </w:r>
      <w:r w:rsidR="00936988">
        <w:rPr>
          <w:rStyle w:val="FootnoteReference"/>
          <w:rFonts w:ascii="Palatino Linotype" w:hAnsi="Palatino Linotype"/>
          <w:sz w:val="24"/>
          <w:szCs w:val="24"/>
        </w:rPr>
        <w:footnoteReference w:id="169"/>
      </w:r>
    </w:p>
    <w:p w14:paraId="68879CD2" w14:textId="77777777" w:rsidR="006478FB" w:rsidRDefault="006478FB" w:rsidP="00E00A01">
      <w:pPr>
        <w:ind w:firstLine="720"/>
        <w:rPr>
          <w:rFonts w:ascii="Palatino Linotype" w:hAnsi="Palatino Linotype"/>
          <w:sz w:val="24"/>
          <w:szCs w:val="24"/>
        </w:rPr>
      </w:pPr>
    </w:p>
    <w:p w14:paraId="7AF2E1DE" w14:textId="27BDA869"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Though Lifton misrepresents the biblical worldview as being reductionistic, he points out that the Medical Model sought to replace the biblical view of human nature with the false narrative that the Christian faith and the scientific method are antithetical, a faith that began to be spread during the French and American Revolutions and was made popular during the Nazi rule of Germany. In truth, however, it is biological reductionism and not science that is antithetical to the Christian faith. It is at this significant stage in history under the leadership of Emil Kraepelin that Rush’s theory of hereditary madness was developed into the formal field of Nazi eugenics and eventually into psychiatric genetics in the United States.</w:t>
      </w:r>
      <w:r w:rsidR="00936988">
        <w:rPr>
          <w:rStyle w:val="FootnoteReference"/>
          <w:rFonts w:ascii="Palatino Linotype" w:hAnsi="Palatino Linotype"/>
          <w:sz w:val="24"/>
          <w:szCs w:val="24"/>
        </w:rPr>
        <w:footnoteReference w:id="170"/>
      </w:r>
      <w:r w:rsidRPr="00E00A01">
        <w:rPr>
          <w:rFonts w:ascii="Palatino Linotype" w:hAnsi="Palatino Linotype"/>
          <w:sz w:val="24"/>
          <w:szCs w:val="24"/>
        </w:rPr>
        <w:t xml:space="preserve"> In Kraepelin, Rush’s “explanation” of the spiritual soul had seemingly transformed into a legitimate scientific field.</w:t>
      </w:r>
    </w:p>
    <w:p w14:paraId="24EE534A" w14:textId="77777777" w:rsidR="006478FB" w:rsidRDefault="006478FB" w:rsidP="00E00A01">
      <w:pPr>
        <w:ind w:firstLine="720"/>
        <w:rPr>
          <w:rFonts w:ascii="Palatino Linotype" w:hAnsi="Palatino Linotype"/>
          <w:sz w:val="24"/>
          <w:szCs w:val="24"/>
        </w:rPr>
      </w:pPr>
    </w:p>
    <w:p w14:paraId="52D00658" w14:textId="1A229182"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Today’s “neo-Kraepelinian” model claims to understand and be best equipped to approach the same human struggles central to religious faith—creating an apparent duplicity, as psychiatrists Michael King and Simon Dein so aptly identify: “Psychiatrists concern themselves with human mental suffering. Behind the consulting room door they reflect with their patients on questions of meaning and existence, issues that concern philosophy and religion as much as psychiatry.”</w:t>
      </w:r>
      <w:r w:rsidR="00936988">
        <w:rPr>
          <w:rStyle w:val="FootnoteReference"/>
          <w:rFonts w:ascii="Palatino Linotype" w:hAnsi="Palatino Linotype"/>
          <w:sz w:val="24"/>
          <w:szCs w:val="24"/>
        </w:rPr>
        <w:footnoteReference w:id="171"/>
      </w:r>
    </w:p>
    <w:p w14:paraId="5C742D52" w14:textId="77777777" w:rsidR="006478FB" w:rsidRDefault="006478FB" w:rsidP="00E00A01">
      <w:pPr>
        <w:ind w:firstLine="720"/>
        <w:rPr>
          <w:rFonts w:ascii="Palatino Linotype" w:hAnsi="Palatino Linotype"/>
          <w:sz w:val="24"/>
          <w:szCs w:val="24"/>
        </w:rPr>
      </w:pPr>
    </w:p>
    <w:p w14:paraId="11905230" w14:textId="65FE00DE"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Many supporters of the Medical Model have not merely sought to replace the Christian worldview but have also replaced biblical terms and perspectives about specific human phenomena. For example, Allen Frances recognizes that this new paradigm reclassifies human phenomena into a new faith-based moral system:</w:t>
      </w:r>
    </w:p>
    <w:p w14:paraId="68ADA459" w14:textId="77777777" w:rsidR="00E00A01" w:rsidRPr="00E00A01" w:rsidRDefault="00E00A01" w:rsidP="00E00A01">
      <w:pPr>
        <w:ind w:firstLine="720"/>
        <w:rPr>
          <w:rFonts w:ascii="Palatino Linotype" w:hAnsi="Palatino Linotype"/>
          <w:sz w:val="24"/>
          <w:szCs w:val="24"/>
        </w:rPr>
      </w:pPr>
    </w:p>
    <w:p w14:paraId="6886CAEA" w14:textId="7777777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lastRenderedPageBreak/>
        <w:t>Binge eating was once considered a sin; should it now be a psychiatric disorder?</w:t>
      </w:r>
    </w:p>
    <w:p w14:paraId="16235205" w14:textId="7060AE84" w:rsidR="00E00A01" w:rsidRPr="00E00A01" w:rsidRDefault="00E00A01" w:rsidP="006478FB">
      <w:pPr>
        <w:ind w:left="720"/>
        <w:rPr>
          <w:rFonts w:ascii="Palatino Linotype" w:hAnsi="Palatino Linotype"/>
          <w:sz w:val="24"/>
          <w:szCs w:val="24"/>
        </w:rPr>
      </w:pPr>
      <w:r w:rsidRPr="00E00A01">
        <w:rPr>
          <w:rFonts w:ascii="Palatino Linotype" w:hAnsi="Palatino Linotype"/>
          <w:sz w:val="24"/>
          <w:szCs w:val="24"/>
        </w:rPr>
        <w:t>. . . Is having sex with a teenager just a crime or also a sign of craziness? And in evaluating any given person, we lack a general definition of mental disorder to help us decide whether he is normal or a patient, mad or bad.</w:t>
      </w:r>
      <w:r w:rsidR="00936988">
        <w:rPr>
          <w:rStyle w:val="FootnoteReference"/>
          <w:rFonts w:ascii="Palatino Linotype" w:hAnsi="Palatino Linotype"/>
          <w:sz w:val="24"/>
          <w:szCs w:val="24"/>
        </w:rPr>
        <w:footnoteReference w:id="172"/>
      </w:r>
    </w:p>
    <w:p w14:paraId="223BAC5F" w14:textId="77777777" w:rsidR="006478FB" w:rsidRDefault="006478FB" w:rsidP="00E00A01">
      <w:pPr>
        <w:ind w:firstLine="720"/>
        <w:rPr>
          <w:rFonts w:ascii="Palatino Linotype" w:hAnsi="Palatino Linotype"/>
          <w:sz w:val="24"/>
          <w:szCs w:val="24"/>
        </w:rPr>
      </w:pPr>
    </w:p>
    <w:p w14:paraId="51E507D0" w14:textId="0DD93E71" w:rsidR="00E00A01" w:rsidRPr="00E00A01" w:rsidRDefault="00E00A01" w:rsidP="009D206D">
      <w:pPr>
        <w:ind w:firstLine="720"/>
        <w:rPr>
          <w:rFonts w:ascii="Palatino Linotype" w:hAnsi="Palatino Linotype"/>
          <w:sz w:val="24"/>
          <w:szCs w:val="24"/>
        </w:rPr>
      </w:pPr>
      <w:r w:rsidRPr="00E00A01">
        <w:rPr>
          <w:rFonts w:ascii="Palatino Linotype" w:hAnsi="Palatino Linotype"/>
          <w:sz w:val="24"/>
          <w:szCs w:val="24"/>
        </w:rPr>
        <w:t>Most of the human phenomena classified as psychiatric disorders are declared in the Bible to be destructive but normal aspects of human nature after the fall of the first man Adam</w:t>
      </w:r>
      <w:r w:rsidR="009D206D">
        <w:rPr>
          <w:rFonts w:ascii="Palatino Linotype" w:hAnsi="Palatino Linotype"/>
          <w:sz w:val="24"/>
          <w:szCs w:val="24"/>
        </w:rPr>
        <w:t xml:space="preserve"> </w:t>
      </w:r>
      <w:r w:rsidRPr="00E00A01">
        <w:rPr>
          <w:rFonts w:ascii="Palatino Linotype" w:hAnsi="Palatino Linotype"/>
          <w:sz w:val="24"/>
          <w:szCs w:val="24"/>
        </w:rPr>
        <w:t xml:space="preserve">(Genesis 3). These phenomena include both matters of human fragility (metaphysical weakness; e.g., deep impairing sorrow) and depravity (moral wickedness; e.g., sexual promiscuity). Surprisingly, many secularists have begun to acknowledge that these phenomena must not be viewed as abnormal let alone biological diseases, nor does there exist significant evidence to do so. Consider, for instance, the views of the influential former chair of the </w:t>
      </w:r>
      <w:r w:rsidRPr="00E00A01">
        <w:rPr>
          <w:rFonts w:ascii="Palatino Linotype" w:hAnsi="Palatino Linotype"/>
          <w:i/>
          <w:sz w:val="24"/>
          <w:szCs w:val="24"/>
        </w:rPr>
        <w:t xml:space="preserve">DSM-IV </w:t>
      </w:r>
      <w:r w:rsidRPr="00E00A01">
        <w:rPr>
          <w:rFonts w:ascii="Palatino Linotype" w:hAnsi="Palatino Linotype"/>
          <w:sz w:val="24"/>
          <w:szCs w:val="24"/>
        </w:rPr>
        <w:t xml:space="preserve">task force and department head of psychiatry at Duke Medical School, Allen Frances, who penned a book in which he discusses at length the need of </w:t>
      </w:r>
      <w:r w:rsidRPr="00E00A01">
        <w:rPr>
          <w:rFonts w:ascii="Palatino Linotype" w:hAnsi="Palatino Linotype"/>
          <w:i/>
          <w:sz w:val="24"/>
          <w:szCs w:val="24"/>
        </w:rPr>
        <w:t>Saving Normal</w:t>
      </w:r>
      <w:r w:rsidRPr="00E00A01">
        <w:rPr>
          <w:rFonts w:ascii="Palatino Linotype" w:hAnsi="Palatino Linotype"/>
          <w:sz w:val="24"/>
          <w:szCs w:val="24"/>
        </w:rPr>
        <w:t>.</w:t>
      </w:r>
      <w:r w:rsidR="009D206D">
        <w:rPr>
          <w:rStyle w:val="FootnoteReference"/>
          <w:rFonts w:ascii="Palatino Linotype" w:hAnsi="Palatino Linotype"/>
          <w:sz w:val="24"/>
          <w:szCs w:val="24"/>
        </w:rPr>
        <w:footnoteReference w:id="173"/>
      </w:r>
      <w:r w:rsidRPr="00E00A01">
        <w:rPr>
          <w:rFonts w:ascii="Palatino Linotype" w:hAnsi="Palatino Linotype"/>
          <w:sz w:val="24"/>
          <w:szCs w:val="24"/>
        </w:rPr>
        <w:t xml:space="preserve"> Several members of the Society of Humanistic Psychology express their own similar concerns that:</w:t>
      </w:r>
    </w:p>
    <w:p w14:paraId="5A698636" w14:textId="77777777" w:rsidR="00E00A01" w:rsidRPr="00E00A01" w:rsidRDefault="00E00A01" w:rsidP="00E00A01">
      <w:pPr>
        <w:ind w:firstLine="720"/>
        <w:rPr>
          <w:rFonts w:ascii="Palatino Linotype" w:hAnsi="Palatino Linotype"/>
          <w:sz w:val="24"/>
          <w:szCs w:val="24"/>
        </w:rPr>
      </w:pPr>
    </w:p>
    <w:p w14:paraId="1D4EA2AE" w14:textId="2D526566" w:rsidR="00E00A01" w:rsidRPr="00E00A01" w:rsidRDefault="00E00A01" w:rsidP="009D206D">
      <w:pPr>
        <w:ind w:left="720"/>
        <w:rPr>
          <w:rFonts w:ascii="Palatino Linotype" w:hAnsi="Palatino Linotype"/>
          <w:sz w:val="24"/>
          <w:szCs w:val="24"/>
        </w:rPr>
      </w:pPr>
      <w:r w:rsidRPr="00E00A01">
        <w:rPr>
          <w:rFonts w:ascii="Palatino Linotype" w:hAnsi="Palatino Linotype"/>
          <w:sz w:val="24"/>
          <w:szCs w:val="24"/>
        </w:rPr>
        <w:t>‘clients and the general public are negatively affected by the continued and continuous medicalisation of their natural and normal responses to their experiences; responses which undoubtedly have distressing consequences which demand helping responses, but which do not reflect illnesses so much as normal individual variation’... Their definitions inevitably rely on subjective judgments, which are themselves grounded in cultural norms. The diagnostic categories proposed by these frameworks — the DSM, the ICD and newly proposed models such as the RDoC project — are based largely on social norms about what constitutes ‘normal’ or desirable behavior or experience.</w:t>
      </w:r>
      <w:r w:rsidR="009D206D">
        <w:rPr>
          <w:rStyle w:val="FootnoteReference"/>
          <w:rFonts w:ascii="Palatino Linotype" w:hAnsi="Palatino Linotype"/>
          <w:sz w:val="24"/>
          <w:szCs w:val="24"/>
        </w:rPr>
        <w:footnoteReference w:id="174"/>
      </w:r>
    </w:p>
    <w:p w14:paraId="59B95D30" w14:textId="77777777" w:rsidR="009D206D" w:rsidRDefault="009D206D" w:rsidP="00E00A01">
      <w:pPr>
        <w:ind w:firstLine="720"/>
        <w:rPr>
          <w:rFonts w:ascii="Palatino Linotype" w:hAnsi="Palatino Linotype"/>
          <w:sz w:val="24"/>
          <w:szCs w:val="24"/>
        </w:rPr>
      </w:pPr>
    </w:p>
    <w:p w14:paraId="6CC3B79D" w14:textId="5C08D3FC"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Since selected aspects of human nature do not fit into established humanistic and Darwinian evolutionary beliefs, these undesirable, distressful, destructive, and at times seemingly unexplainable aspects of humanity are recast as abnormalities and thus as alleged medical conditions. Renowned psychiatrist Bessel van der Kolk remarks:</w:t>
      </w:r>
    </w:p>
    <w:p w14:paraId="2B67EA0A" w14:textId="77777777" w:rsidR="00E00A01" w:rsidRPr="00E00A01" w:rsidRDefault="00E00A01" w:rsidP="00E00A01">
      <w:pPr>
        <w:ind w:firstLine="720"/>
        <w:rPr>
          <w:rFonts w:ascii="Palatino Linotype" w:hAnsi="Palatino Linotype"/>
          <w:sz w:val="24"/>
          <w:szCs w:val="24"/>
        </w:rPr>
      </w:pPr>
    </w:p>
    <w:p w14:paraId="4C8A399B" w14:textId="0E7FC002"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 xml:space="preserve">Now a new paradigm was emerging: Anger, lust, pride, greed, avarice, and </w:t>
      </w:r>
      <w:r w:rsidRPr="00E00A01">
        <w:rPr>
          <w:rFonts w:ascii="Palatino Linotype" w:hAnsi="Palatino Linotype"/>
          <w:sz w:val="24"/>
          <w:szCs w:val="24"/>
        </w:rPr>
        <w:lastRenderedPageBreak/>
        <w:t>sloth—as well as all the other problems we humans have always struggled to manage—were recast as “disorders” that could be fixed by the administration of appropriate chemicals.</w:t>
      </w:r>
      <w:r w:rsidR="009D206D">
        <w:rPr>
          <w:rStyle w:val="FootnoteReference"/>
          <w:rFonts w:ascii="Palatino Linotype" w:hAnsi="Palatino Linotype"/>
          <w:sz w:val="24"/>
          <w:szCs w:val="24"/>
        </w:rPr>
        <w:footnoteReference w:id="175"/>
      </w:r>
    </w:p>
    <w:p w14:paraId="1D22B7B7" w14:textId="77777777" w:rsidR="009D206D" w:rsidRDefault="009D206D" w:rsidP="00E00A01">
      <w:pPr>
        <w:ind w:firstLine="720"/>
        <w:rPr>
          <w:rFonts w:ascii="Palatino Linotype" w:hAnsi="Palatino Linotype"/>
          <w:sz w:val="24"/>
          <w:szCs w:val="24"/>
        </w:rPr>
      </w:pPr>
    </w:p>
    <w:p w14:paraId="6DD0BD15" w14:textId="3738E7D5"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Not only was it upon the rejection of the biblical explanation of human nature, human phenomena, and the origin of mankind that the Medical Model was conceived, but also upon the establishment of this worldview, people began to be subjectively categorized based upon their thoughts, emotions, and behaviors as being either healthy or unhealthy.</w:t>
      </w:r>
    </w:p>
    <w:p w14:paraId="6EBE71A3" w14:textId="77777777" w:rsidR="00722184" w:rsidRDefault="00722184" w:rsidP="00E00A01">
      <w:pPr>
        <w:ind w:firstLine="720"/>
        <w:rPr>
          <w:rFonts w:ascii="Palatino Linotype" w:hAnsi="Palatino Linotype"/>
          <w:sz w:val="24"/>
          <w:szCs w:val="24"/>
        </w:rPr>
      </w:pPr>
    </w:p>
    <w:p w14:paraId="3F9C8C50" w14:textId="5F870742" w:rsidR="00E00A01" w:rsidRDefault="00E00A01" w:rsidP="00722184">
      <w:pPr>
        <w:ind w:firstLine="720"/>
        <w:rPr>
          <w:rFonts w:ascii="Palatino Linotype" w:hAnsi="Palatino Linotype"/>
          <w:sz w:val="24"/>
          <w:szCs w:val="24"/>
        </w:rPr>
      </w:pPr>
      <w:r w:rsidRPr="00E00A01">
        <w:rPr>
          <w:rFonts w:ascii="Palatino Linotype" w:hAnsi="Palatino Linotype"/>
          <w:sz w:val="24"/>
          <w:szCs w:val="24"/>
        </w:rPr>
        <w:t>But materialists’ desire to replace the Word of God with humanistic faith and corresponding constructed disorders is not limited to their reframing undesirable, impairing, distressful, or seemingly unexplainable aspects of what Scripture declares to be normal human weaknesses and wickedness. They have also replaced the ministry of the Holy Spirit with a failed history</w:t>
      </w:r>
      <w:r w:rsidR="00722184">
        <w:rPr>
          <w:rFonts w:ascii="Palatino Linotype" w:hAnsi="Palatino Linotype"/>
          <w:sz w:val="24"/>
          <w:szCs w:val="24"/>
        </w:rPr>
        <w:t xml:space="preserve"> </w:t>
      </w:r>
      <w:r w:rsidRPr="00E00A01">
        <w:rPr>
          <w:rFonts w:ascii="Palatino Linotype" w:hAnsi="Palatino Linotype"/>
          <w:sz w:val="24"/>
          <w:szCs w:val="24"/>
        </w:rPr>
        <w:t>of biological mechanisms and gimmicks. Whether it is because of humanity’s natural lack of “love, joy, peace, patience, kindness, goodness, faithfulness, gentleness, [and] self-control,” their need to remedy problems created out of “passions and desires,” or “conceit, provoking one another, [and] envying one another” (Galatians 5:22-26), neo-Kraepelinians have manufactured and marketed psychopharmacology to “safely” return humanity to a non-existent standard of normalcy/mental health within their evolutionary faith.</w:t>
      </w:r>
    </w:p>
    <w:p w14:paraId="20F24F3F" w14:textId="77777777" w:rsidR="00722184" w:rsidRPr="00E00A01" w:rsidRDefault="00722184" w:rsidP="00722184">
      <w:pPr>
        <w:ind w:firstLine="720"/>
        <w:rPr>
          <w:rFonts w:ascii="Palatino Linotype" w:hAnsi="Palatino Linotype"/>
          <w:sz w:val="24"/>
          <w:szCs w:val="24"/>
        </w:rPr>
      </w:pPr>
    </w:p>
    <w:p w14:paraId="73BFA855" w14:textId="7777777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Both Christians and humanists alike recognize that the human soul needs something or someone to make it transcend its own abilities in order to overcome human fragility and depravity. But humanists have no room within their faith to acknowledge the Godhead’s necessity, and so they develop material substitutes that are inadequate to explain the soul, let alone to deliver it from evil and restore it wholeness.</w:t>
      </w:r>
    </w:p>
    <w:p w14:paraId="702A8FC8" w14:textId="77777777" w:rsidR="00722184" w:rsidRDefault="00722184" w:rsidP="00E00A01">
      <w:pPr>
        <w:ind w:firstLine="720"/>
        <w:rPr>
          <w:rFonts w:ascii="Palatino Linotype" w:hAnsi="Palatino Linotype"/>
          <w:sz w:val="24"/>
          <w:szCs w:val="24"/>
        </w:rPr>
      </w:pPr>
    </w:p>
    <w:p w14:paraId="1AA9CBD4" w14:textId="0AD6DEB6"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Moreover, the Medical Model’s existence is a recognition that the human soul/psyche/ consciousness/immaterial nature needs to be approached. But the model replaces the Christian ministry of discipleship/biblical soul care with humanistic psychotherapy and clinical visits to a psycho-pomp, as Sigmund Freud himself admitted:</w:t>
      </w:r>
    </w:p>
    <w:p w14:paraId="7EFD3CBC" w14:textId="77777777" w:rsidR="00E00A01" w:rsidRPr="00E00A01" w:rsidRDefault="00E00A01" w:rsidP="00E00A01">
      <w:pPr>
        <w:ind w:firstLine="720"/>
        <w:rPr>
          <w:rFonts w:ascii="Palatino Linotype" w:hAnsi="Palatino Linotype"/>
          <w:sz w:val="24"/>
          <w:szCs w:val="24"/>
        </w:rPr>
      </w:pPr>
    </w:p>
    <w:p w14:paraId="00E01927" w14:textId="43E7468C" w:rsidR="00E00A01" w:rsidRPr="00E00A01" w:rsidRDefault="00E00A01" w:rsidP="00722184">
      <w:pPr>
        <w:ind w:firstLine="720"/>
        <w:rPr>
          <w:rFonts w:ascii="Palatino Linotype" w:hAnsi="Palatino Linotype"/>
          <w:sz w:val="24"/>
          <w:szCs w:val="24"/>
        </w:rPr>
      </w:pPr>
      <w:r w:rsidRPr="00E00A01">
        <w:rPr>
          <w:rFonts w:ascii="Palatino Linotype" w:hAnsi="Palatino Linotype"/>
          <w:sz w:val="24"/>
          <w:szCs w:val="24"/>
        </w:rPr>
        <w:t xml:space="preserve">The words, ‘secular pastoral worker,’ might well serve as a general formula for describing the function of the analyst. We do not seek to bring relief by receiving him into the catholic, protestant, or socialist community. We seek rather to enrich him from </w:t>
      </w:r>
      <w:r w:rsidRPr="00E00A01">
        <w:rPr>
          <w:rFonts w:ascii="Palatino Linotype" w:hAnsi="Palatino Linotype"/>
          <w:sz w:val="24"/>
          <w:szCs w:val="24"/>
        </w:rPr>
        <w:lastRenderedPageBreak/>
        <w:t>his own internal sources</w:t>
      </w:r>
      <w:r w:rsidR="00722184">
        <w:rPr>
          <w:rFonts w:ascii="Palatino Linotype" w:hAnsi="Palatino Linotype"/>
          <w:sz w:val="24"/>
          <w:szCs w:val="24"/>
        </w:rPr>
        <w:t xml:space="preserve">… </w:t>
      </w:r>
      <w:r w:rsidRPr="00E00A01">
        <w:rPr>
          <w:rFonts w:ascii="Palatino Linotype" w:hAnsi="Palatino Linotype"/>
          <w:sz w:val="24"/>
          <w:szCs w:val="24"/>
        </w:rPr>
        <w:t>Such activity as this is pastoral work in the</w:t>
      </w:r>
      <w:r w:rsidR="00722184">
        <w:rPr>
          <w:rFonts w:ascii="Palatino Linotype" w:hAnsi="Palatino Linotype"/>
          <w:sz w:val="24"/>
          <w:szCs w:val="24"/>
        </w:rPr>
        <w:t xml:space="preserve"> </w:t>
      </w:r>
      <w:r w:rsidRPr="00E00A01">
        <w:rPr>
          <w:rFonts w:ascii="Palatino Linotype" w:hAnsi="Palatino Linotype"/>
          <w:sz w:val="24"/>
          <w:szCs w:val="24"/>
        </w:rPr>
        <w:t>best sense of the word.</w:t>
      </w:r>
      <w:r w:rsidR="00722184">
        <w:rPr>
          <w:rStyle w:val="FootnoteReference"/>
          <w:rFonts w:ascii="Palatino Linotype" w:hAnsi="Palatino Linotype"/>
          <w:sz w:val="24"/>
          <w:szCs w:val="24"/>
        </w:rPr>
        <w:footnoteReference w:id="176"/>
      </w:r>
    </w:p>
    <w:p w14:paraId="42C39A81" w14:textId="77777777" w:rsidR="00722184" w:rsidRDefault="00722184" w:rsidP="00E00A01">
      <w:pPr>
        <w:ind w:firstLine="720"/>
        <w:rPr>
          <w:rFonts w:ascii="Palatino Linotype" w:hAnsi="Palatino Linotype"/>
          <w:sz w:val="24"/>
          <w:szCs w:val="24"/>
        </w:rPr>
      </w:pPr>
    </w:p>
    <w:p w14:paraId="3031AF42" w14:textId="1A8A329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Though Freud’s worldview of psychoanalysis has been largely rejected after decades of its dominant position in the APA, key features such as psychotherapy have been maintained and integrated into the Medical Model. Former professor of psychiatry and National Institute of Mental Health consultant Peter Breggin comments that psychiatry has distorted the meaning of psychotherapy to fit into a medical framework:</w:t>
      </w:r>
    </w:p>
    <w:p w14:paraId="7D1D3264" w14:textId="77777777" w:rsidR="00E00A01" w:rsidRPr="00E00A01" w:rsidRDefault="00E00A01" w:rsidP="00E00A01">
      <w:pPr>
        <w:ind w:firstLine="720"/>
        <w:rPr>
          <w:rFonts w:ascii="Palatino Linotype" w:hAnsi="Palatino Linotype"/>
          <w:sz w:val="24"/>
          <w:szCs w:val="24"/>
        </w:rPr>
      </w:pPr>
    </w:p>
    <w:p w14:paraId="6423339B" w14:textId="6FEBA01B"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The word therapy comes from the Greek therapeutikos, meaning attendant or one who takes care of another, while psycho comes from the Greek psyche, meaning soul or being. Psychotherapy means ministering to the soul or being of another. It is psychiatry that has medicalized and corrupted the word to mean “the treatment of mental illness.”</w:t>
      </w:r>
      <w:r w:rsidR="00722184">
        <w:rPr>
          <w:rStyle w:val="FootnoteReference"/>
          <w:rFonts w:ascii="Palatino Linotype" w:hAnsi="Palatino Linotype"/>
          <w:sz w:val="24"/>
          <w:szCs w:val="24"/>
        </w:rPr>
        <w:footnoteReference w:id="177"/>
      </w:r>
    </w:p>
    <w:p w14:paraId="776E0580" w14:textId="77777777" w:rsidR="00722184" w:rsidRDefault="00722184" w:rsidP="00E00A01">
      <w:pPr>
        <w:ind w:firstLine="720"/>
        <w:rPr>
          <w:rFonts w:ascii="Palatino Linotype" w:hAnsi="Palatino Linotype"/>
          <w:sz w:val="24"/>
          <w:szCs w:val="24"/>
        </w:rPr>
      </w:pPr>
    </w:p>
    <w:p w14:paraId="357F9A8D" w14:textId="650B23EC"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In seemingly every way, the Medical Model was developed to replace the gospel of Jesus Christ, the biblical phenomenology of the soul/psyche, the ministry of the Holy Spirit with mind-altering chemicals, and biblical soul care with its humanistic and materialistic faith propagated by spiritual guides within a like-minded community.</w:t>
      </w:r>
    </w:p>
    <w:p w14:paraId="731EF7D5" w14:textId="77777777" w:rsidR="00722184" w:rsidRDefault="00722184" w:rsidP="00722184">
      <w:pPr>
        <w:rPr>
          <w:rFonts w:ascii="Palatino Linotype" w:hAnsi="Palatino Linotype"/>
          <w:sz w:val="24"/>
          <w:szCs w:val="24"/>
        </w:rPr>
      </w:pPr>
    </w:p>
    <w:p w14:paraId="2BB2D5B7" w14:textId="52D5E780" w:rsidR="00E00A01" w:rsidRPr="00E00A01" w:rsidRDefault="00E00A01" w:rsidP="00722184">
      <w:pPr>
        <w:jc w:val="center"/>
        <w:rPr>
          <w:rFonts w:ascii="Palatino Linotype" w:hAnsi="Palatino Linotype"/>
          <w:b/>
          <w:bCs/>
          <w:sz w:val="24"/>
          <w:szCs w:val="24"/>
        </w:rPr>
      </w:pPr>
      <w:r w:rsidRPr="00E00A01">
        <w:rPr>
          <w:rFonts w:ascii="Palatino Linotype" w:hAnsi="Palatino Linotype"/>
          <w:b/>
          <w:bCs/>
          <w:sz w:val="24"/>
          <w:szCs w:val="24"/>
        </w:rPr>
        <w:t>The Medical Model Attempts to Redefine the Spiritual Soul</w:t>
      </w:r>
    </w:p>
    <w:p w14:paraId="06BD9E1B" w14:textId="7777777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At the center of the Medical Model is the attempt to recast the spiritual soul/psyche/ mind apart from any biblical explanation or description. Proponents of the Medical Model must maintain the myth that the metaphysical soul is something biologically produced or organically evolved if their worldview is to be sustained.</w:t>
      </w:r>
    </w:p>
    <w:p w14:paraId="2C32A8A0" w14:textId="77777777" w:rsidR="00722184" w:rsidRDefault="00722184" w:rsidP="00E00A01">
      <w:pPr>
        <w:ind w:firstLine="720"/>
        <w:rPr>
          <w:rFonts w:ascii="Palatino Linotype" w:hAnsi="Palatino Linotype"/>
          <w:sz w:val="24"/>
          <w:szCs w:val="24"/>
        </w:rPr>
      </w:pPr>
    </w:p>
    <w:p w14:paraId="3367365E" w14:textId="06169A86" w:rsidR="00E00A01" w:rsidRPr="00E00A01" w:rsidRDefault="00E00A01" w:rsidP="00E00A01">
      <w:pPr>
        <w:ind w:firstLine="720"/>
        <w:rPr>
          <w:rFonts w:ascii="Palatino Linotype" w:hAnsi="Palatino Linotype"/>
          <w:i/>
          <w:sz w:val="24"/>
          <w:szCs w:val="24"/>
        </w:rPr>
      </w:pPr>
      <w:r w:rsidRPr="00E00A01">
        <w:rPr>
          <w:rFonts w:ascii="Palatino Linotype" w:hAnsi="Palatino Linotype"/>
          <w:sz w:val="24"/>
          <w:szCs w:val="24"/>
        </w:rPr>
        <w:t xml:space="preserve">Ironically, this faith is an affront to valid science since the metaphysical soul/psych/mind itself cannot be physically examined or measured utilizing the scientific method. Despite this fact, Benjamin Rush asserted that science would prove his theory of a material soul to be true. On numerous occasions Rush openly stated his reductionistic beliefs, as he did in his book </w:t>
      </w:r>
      <w:r w:rsidRPr="00E00A01">
        <w:rPr>
          <w:rFonts w:ascii="Palatino Linotype" w:hAnsi="Palatino Linotype"/>
          <w:i/>
          <w:sz w:val="24"/>
          <w:szCs w:val="24"/>
        </w:rPr>
        <w:t>Medical Inquiries and Observations Upon the Diseases of the Mind:</w:t>
      </w:r>
    </w:p>
    <w:p w14:paraId="199D95B5" w14:textId="77777777" w:rsidR="00E00A01" w:rsidRPr="00E00A01" w:rsidRDefault="00E00A01" w:rsidP="00E00A01">
      <w:pPr>
        <w:ind w:firstLine="720"/>
        <w:rPr>
          <w:rFonts w:ascii="Palatino Linotype" w:hAnsi="Palatino Linotype"/>
          <w:i/>
          <w:sz w:val="24"/>
          <w:szCs w:val="24"/>
        </w:rPr>
      </w:pPr>
    </w:p>
    <w:p w14:paraId="49D81202" w14:textId="687AA92C" w:rsidR="00722184" w:rsidRDefault="00E00A01" w:rsidP="00722184">
      <w:pPr>
        <w:ind w:left="720"/>
        <w:rPr>
          <w:rFonts w:ascii="Palatino Linotype" w:hAnsi="Palatino Linotype"/>
          <w:sz w:val="24"/>
          <w:szCs w:val="24"/>
        </w:rPr>
      </w:pPr>
      <w:r w:rsidRPr="00E00A01">
        <w:rPr>
          <w:rFonts w:ascii="Palatino Linotype" w:hAnsi="Palatino Linotype"/>
          <w:sz w:val="24"/>
          <w:szCs w:val="24"/>
        </w:rPr>
        <w:t xml:space="preserve">I have endeavored to bring them [“diseases of the mind”] down to the level of all other diseases of the human body, and to show that the mind and body are </w:t>
      </w:r>
      <w:r w:rsidRPr="00E00A01">
        <w:rPr>
          <w:rFonts w:ascii="Palatino Linotype" w:hAnsi="Palatino Linotype"/>
          <w:sz w:val="24"/>
          <w:szCs w:val="24"/>
        </w:rPr>
        <w:lastRenderedPageBreak/>
        <w:t>moved by the same causes and subject to the same laws.</w:t>
      </w:r>
      <w:r w:rsidR="00722184">
        <w:rPr>
          <w:rStyle w:val="FootnoteReference"/>
          <w:rFonts w:ascii="Palatino Linotype" w:hAnsi="Palatino Linotype"/>
          <w:sz w:val="24"/>
          <w:szCs w:val="24"/>
        </w:rPr>
        <w:footnoteReference w:id="178"/>
      </w:r>
    </w:p>
    <w:p w14:paraId="26AB72BE" w14:textId="77777777" w:rsidR="00BD0F79" w:rsidRDefault="00BD0F79" w:rsidP="00BD0F79">
      <w:pPr>
        <w:rPr>
          <w:rFonts w:ascii="Palatino Linotype" w:hAnsi="Palatino Linotype"/>
          <w:sz w:val="24"/>
          <w:szCs w:val="24"/>
        </w:rPr>
      </w:pPr>
    </w:p>
    <w:p w14:paraId="03746C43" w14:textId="4E4776F5" w:rsidR="00E00A01" w:rsidRPr="00E00A01" w:rsidRDefault="00E00A01" w:rsidP="00BD0F79">
      <w:pPr>
        <w:rPr>
          <w:rFonts w:ascii="Palatino Linotype" w:hAnsi="Palatino Linotype"/>
          <w:sz w:val="24"/>
          <w:szCs w:val="24"/>
        </w:rPr>
      </w:pPr>
      <w:r w:rsidRPr="00E00A01">
        <w:rPr>
          <w:rFonts w:ascii="Palatino Linotype" w:hAnsi="Palatino Linotype"/>
          <w:sz w:val="24"/>
          <w:szCs w:val="24"/>
        </w:rPr>
        <w:t>Accordingly, former APA President John Oldham conveys about Rush that:</w:t>
      </w:r>
    </w:p>
    <w:p w14:paraId="2469EE6E" w14:textId="77777777" w:rsidR="00E00A01" w:rsidRPr="00E00A01" w:rsidRDefault="00E00A01" w:rsidP="00E00A01">
      <w:pPr>
        <w:ind w:firstLine="720"/>
        <w:rPr>
          <w:rFonts w:ascii="Palatino Linotype" w:hAnsi="Palatino Linotype"/>
          <w:sz w:val="24"/>
          <w:szCs w:val="24"/>
        </w:rPr>
      </w:pPr>
    </w:p>
    <w:p w14:paraId="0EECAC42" w14:textId="479DDB22" w:rsidR="00E00A01" w:rsidRPr="00E00A01" w:rsidRDefault="00E00A01" w:rsidP="00BD0F79">
      <w:pPr>
        <w:ind w:left="720"/>
        <w:rPr>
          <w:rFonts w:ascii="Palatino Linotype" w:hAnsi="Palatino Linotype"/>
          <w:sz w:val="24"/>
          <w:szCs w:val="24"/>
        </w:rPr>
      </w:pPr>
      <w:r w:rsidRPr="00E00A01">
        <w:rPr>
          <w:rFonts w:ascii="Palatino Linotype" w:hAnsi="Palatino Linotype"/>
          <w:sz w:val="24"/>
          <w:szCs w:val="24"/>
        </w:rPr>
        <w:t>he was widely regarded as a very revered expert and compassionate physician who really moved away from the early pre-colonial myths—demons and witchcraft—</w:t>
      </w:r>
      <w:r w:rsidRPr="00E00A01">
        <w:rPr>
          <w:rFonts w:ascii="Palatino Linotype" w:hAnsi="Palatino Linotype"/>
          <w:i/>
          <w:sz w:val="24"/>
          <w:szCs w:val="24"/>
        </w:rPr>
        <w:t xml:space="preserve">to focus in on the medical nature of the brain and the mind, and to treat it as a part of the body </w:t>
      </w:r>
      <w:r w:rsidRPr="00E00A01">
        <w:rPr>
          <w:rFonts w:ascii="Palatino Linotype" w:hAnsi="Palatino Linotype"/>
          <w:sz w:val="24"/>
          <w:szCs w:val="24"/>
        </w:rPr>
        <w:t>that we needed to understand more about [emphasis added].</w:t>
      </w:r>
      <w:r w:rsidR="00722184">
        <w:rPr>
          <w:rStyle w:val="FootnoteReference"/>
          <w:rFonts w:ascii="Palatino Linotype" w:hAnsi="Palatino Linotype"/>
          <w:sz w:val="24"/>
          <w:szCs w:val="24"/>
        </w:rPr>
        <w:footnoteReference w:id="179"/>
      </w:r>
    </w:p>
    <w:p w14:paraId="14B98EC9" w14:textId="77777777" w:rsidR="00BD0F79" w:rsidRDefault="00BD0F79" w:rsidP="00E00A01">
      <w:pPr>
        <w:ind w:firstLine="720"/>
        <w:rPr>
          <w:rFonts w:ascii="Palatino Linotype" w:hAnsi="Palatino Linotype"/>
          <w:sz w:val="24"/>
          <w:szCs w:val="24"/>
        </w:rPr>
      </w:pPr>
    </w:p>
    <w:p w14:paraId="28991F98" w14:textId="1A5D9F6B"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This faith philosophically reduces the human min</w:t>
      </w:r>
      <w:r w:rsidR="00722184">
        <w:rPr>
          <w:rFonts w:ascii="Palatino Linotype" w:hAnsi="Palatino Linotype"/>
          <w:sz w:val="24"/>
          <w:szCs w:val="24"/>
        </w:rPr>
        <w:t xml:space="preserve">d </w:t>
      </w:r>
      <w:r w:rsidRPr="00E00A01">
        <w:rPr>
          <w:rFonts w:ascii="Palatino Linotype" w:hAnsi="Palatino Linotype"/>
          <w:sz w:val="24"/>
          <w:szCs w:val="24"/>
        </w:rPr>
        <w:t>and brain into one organ. Rush’s core materialistic/reductionistic teaching on the soul has mostly remained unchanged among psychiatrists over the last two hundred plus years. For example, current APA president Dilip Jeste expresses well this prevailing psychiatric perspective:</w:t>
      </w:r>
    </w:p>
    <w:p w14:paraId="155DC5DD" w14:textId="77777777" w:rsidR="00E00A01" w:rsidRPr="00E00A01" w:rsidRDefault="00E00A01" w:rsidP="00E00A01">
      <w:pPr>
        <w:ind w:firstLine="720"/>
        <w:rPr>
          <w:rFonts w:ascii="Palatino Linotype" w:hAnsi="Palatino Linotype"/>
          <w:sz w:val="24"/>
          <w:szCs w:val="24"/>
        </w:rPr>
      </w:pPr>
    </w:p>
    <w:p w14:paraId="497C793D" w14:textId="58BC3C77" w:rsidR="00E00A01" w:rsidRPr="00E00A01" w:rsidRDefault="00E00A01" w:rsidP="00BD0F79">
      <w:pPr>
        <w:ind w:left="720"/>
        <w:rPr>
          <w:rFonts w:ascii="Palatino Linotype" w:hAnsi="Palatino Linotype"/>
          <w:sz w:val="24"/>
          <w:szCs w:val="24"/>
        </w:rPr>
      </w:pPr>
      <w:r w:rsidRPr="00E00A01">
        <w:rPr>
          <w:rFonts w:ascii="Palatino Linotype" w:hAnsi="Palatino Linotype"/>
          <w:sz w:val="24"/>
          <w:szCs w:val="24"/>
        </w:rPr>
        <w:t>The reality, I think, is that there is no conflict. Ultimately, the mind is a function of the brain, and the mind operates within a society. Neuroscientists are also realizing the importance of psychosocial aspects, and there is a growing social neuroscience, looking at the neurobiology of things such as loneliness, social isolation, and wisdom.</w:t>
      </w:r>
      <w:r w:rsidR="00722184">
        <w:rPr>
          <w:rStyle w:val="FootnoteReference"/>
          <w:rFonts w:ascii="Palatino Linotype" w:hAnsi="Palatino Linotype"/>
          <w:sz w:val="24"/>
          <w:szCs w:val="24"/>
        </w:rPr>
        <w:footnoteReference w:id="180"/>
      </w:r>
    </w:p>
    <w:p w14:paraId="0CFF4FAD" w14:textId="77777777" w:rsidR="00722184" w:rsidRDefault="00722184" w:rsidP="00722184">
      <w:pPr>
        <w:ind w:firstLine="720"/>
        <w:rPr>
          <w:rFonts w:ascii="Palatino Linotype" w:hAnsi="Palatino Linotype"/>
          <w:sz w:val="24"/>
          <w:szCs w:val="24"/>
        </w:rPr>
      </w:pPr>
    </w:p>
    <w:p w14:paraId="04ECFA18" w14:textId="47CFE133" w:rsidR="00E00A01" w:rsidRPr="00E00A01" w:rsidRDefault="00E00A01" w:rsidP="00722184">
      <w:pPr>
        <w:ind w:firstLine="720"/>
        <w:rPr>
          <w:rFonts w:ascii="Palatino Linotype" w:hAnsi="Palatino Linotype"/>
          <w:sz w:val="24"/>
          <w:szCs w:val="24"/>
        </w:rPr>
      </w:pPr>
      <w:r w:rsidRPr="00E00A01">
        <w:rPr>
          <w:rFonts w:ascii="Palatino Linotype" w:hAnsi="Palatino Linotype"/>
          <w:sz w:val="24"/>
          <w:szCs w:val="24"/>
        </w:rPr>
        <w:t>But have psychiatrists shown objectively that the mind arises from the brain, and is wisdom a matter of the spiritual soul as Scripture teaches, or is it a study of neuroscience</w:t>
      </w:r>
      <w:r w:rsidR="00722184">
        <w:rPr>
          <w:rFonts w:ascii="Palatino Linotype" w:hAnsi="Palatino Linotype"/>
          <w:sz w:val="24"/>
          <w:szCs w:val="24"/>
        </w:rPr>
        <w:t xml:space="preserve"> </w:t>
      </w:r>
      <w:r w:rsidRPr="00E00A01">
        <w:rPr>
          <w:rFonts w:ascii="Palatino Linotype" w:hAnsi="Palatino Linotype"/>
          <w:sz w:val="24"/>
          <w:szCs w:val="24"/>
        </w:rPr>
        <w:t>as leaders in the Medical Model suggest? Underscoring this ideology, influential psychiatrists Caleb Gardner and Arthur Kleinman share their common faith in the fundamental tenet of the Medical Model, the biological reduction of the metaphysical soul/mind:</w:t>
      </w:r>
    </w:p>
    <w:p w14:paraId="12430DA3" w14:textId="77777777" w:rsidR="00E00A01" w:rsidRPr="00E00A01" w:rsidRDefault="00E00A01" w:rsidP="00E00A01">
      <w:pPr>
        <w:ind w:firstLine="720"/>
        <w:rPr>
          <w:rFonts w:ascii="Palatino Linotype" w:hAnsi="Palatino Linotype"/>
          <w:sz w:val="24"/>
          <w:szCs w:val="24"/>
        </w:rPr>
      </w:pPr>
    </w:p>
    <w:p w14:paraId="316EF26B" w14:textId="62AE177E" w:rsidR="00E00A01" w:rsidRPr="00E00A01" w:rsidRDefault="00E00A01" w:rsidP="00BD0F79">
      <w:pPr>
        <w:ind w:left="720"/>
        <w:rPr>
          <w:rFonts w:ascii="Palatino Linotype" w:hAnsi="Palatino Linotype"/>
          <w:sz w:val="24"/>
          <w:szCs w:val="24"/>
        </w:rPr>
      </w:pPr>
      <w:r w:rsidRPr="00E00A01">
        <w:rPr>
          <w:rFonts w:ascii="Palatino Linotype" w:hAnsi="Palatino Linotype"/>
          <w:sz w:val="24"/>
          <w:szCs w:val="24"/>
        </w:rPr>
        <w:t xml:space="preserve">Our mind arises from brain function, and both conscious and unconscious mind processes feedback continuously to shape that function. Over the past century, both the psychodynamic tradition and basic neuroscience have painted pictures of a brain-mind that is fundamentally dynamic and plastic, in which cognition is </w:t>
      </w:r>
      <w:r w:rsidRPr="00E00A01">
        <w:rPr>
          <w:rFonts w:ascii="Palatino Linotype" w:hAnsi="Palatino Linotype"/>
          <w:sz w:val="24"/>
          <w:szCs w:val="24"/>
        </w:rPr>
        <w:lastRenderedPageBreak/>
        <w:t>inseparable from emotion and feeling, and where conscious awareness is a porous vessel on a sea of unconscious processes.</w:t>
      </w:r>
      <w:r w:rsidR="005A3775">
        <w:rPr>
          <w:rStyle w:val="FootnoteReference"/>
          <w:rFonts w:ascii="Palatino Linotype" w:hAnsi="Palatino Linotype"/>
          <w:sz w:val="24"/>
          <w:szCs w:val="24"/>
        </w:rPr>
        <w:footnoteReference w:id="181"/>
      </w:r>
    </w:p>
    <w:p w14:paraId="370B7274" w14:textId="77777777" w:rsidR="00722184" w:rsidRDefault="00722184" w:rsidP="00E00A01">
      <w:pPr>
        <w:ind w:firstLine="720"/>
        <w:rPr>
          <w:rFonts w:ascii="Palatino Linotype" w:hAnsi="Palatino Linotype"/>
          <w:sz w:val="24"/>
          <w:szCs w:val="24"/>
        </w:rPr>
      </w:pPr>
    </w:p>
    <w:p w14:paraId="0856C24C" w14:textId="78C84BA8"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 xml:space="preserve">Many people have accepted the widespread narrative that “the brain causes mental illness” without realizing what truly rests behind the curtain of public knowledge. Some psychiatrists, however, writing for the </w:t>
      </w:r>
      <w:r w:rsidRPr="00E00A01">
        <w:rPr>
          <w:rFonts w:ascii="Palatino Linotype" w:hAnsi="Palatino Linotype"/>
          <w:i/>
          <w:sz w:val="24"/>
          <w:szCs w:val="24"/>
        </w:rPr>
        <w:t>Harvard Review of Psychiatry</w:t>
      </w:r>
      <w:r w:rsidRPr="00E00A01">
        <w:rPr>
          <w:rFonts w:ascii="Palatino Linotype" w:hAnsi="Palatino Linotype"/>
          <w:sz w:val="24"/>
          <w:szCs w:val="24"/>
        </w:rPr>
        <w:t>, transparently acknowledge the very real existence of a proverbial public curtain of knowledge where the wizard of biological reductionism primarily maintains its myth:</w:t>
      </w:r>
    </w:p>
    <w:p w14:paraId="0368A5C5" w14:textId="77777777" w:rsidR="00E00A01" w:rsidRPr="00E00A01" w:rsidRDefault="00E00A01" w:rsidP="00E00A01">
      <w:pPr>
        <w:ind w:firstLine="720"/>
        <w:rPr>
          <w:rFonts w:ascii="Palatino Linotype" w:hAnsi="Palatino Linotype"/>
          <w:sz w:val="24"/>
          <w:szCs w:val="24"/>
        </w:rPr>
      </w:pPr>
    </w:p>
    <w:p w14:paraId="475FDEF8" w14:textId="526F8396" w:rsidR="00E00A01" w:rsidRPr="00E00A01" w:rsidRDefault="00E00A01" w:rsidP="00BD0F79">
      <w:pPr>
        <w:ind w:left="720"/>
        <w:rPr>
          <w:rFonts w:ascii="Palatino Linotype" w:hAnsi="Palatino Linotype"/>
          <w:sz w:val="24"/>
          <w:szCs w:val="24"/>
        </w:rPr>
      </w:pPr>
      <w:r w:rsidRPr="00E00A01">
        <w:rPr>
          <w:rFonts w:ascii="Palatino Linotype" w:hAnsi="Palatino Linotype"/>
          <w:sz w:val="24"/>
          <w:szCs w:val="24"/>
        </w:rPr>
        <w:t>Most experts in the field of psychiatry recognize that neuroscience advances have yet to be translated into clinical practice. The main message delivered to laypeople, however, is that mental disorders are brain diseases cured by scientifically designed medications. Here we describe how this misleading message is generated</w:t>
      </w:r>
      <w:r w:rsidR="00BD0F79">
        <w:rPr>
          <w:rFonts w:ascii="Palatino Linotype" w:hAnsi="Palatino Linotype"/>
          <w:sz w:val="24"/>
          <w:szCs w:val="24"/>
        </w:rPr>
        <w:t xml:space="preserve">… </w:t>
      </w:r>
      <w:r w:rsidRPr="00E00A01">
        <w:rPr>
          <w:rFonts w:ascii="Palatino Linotype" w:hAnsi="Palatino Linotype"/>
          <w:sz w:val="24"/>
          <w:szCs w:val="24"/>
        </w:rPr>
        <w:t>Moreover, journalists are unaware that initial studies, even when positive and promising, are inherently uncertain. Journalists preferentially cover them and almost never inform the public when those studies are disconfirmed by subsequent research. This explains why reductionist theories about mental health often persist in mass media even though the scientific claims that have been put forward to support them have long been contradicted.</w:t>
      </w:r>
      <w:r w:rsidR="005A3775">
        <w:rPr>
          <w:rStyle w:val="FootnoteReference"/>
          <w:rFonts w:ascii="Palatino Linotype" w:hAnsi="Palatino Linotype"/>
          <w:sz w:val="24"/>
          <w:szCs w:val="24"/>
        </w:rPr>
        <w:footnoteReference w:id="182"/>
      </w:r>
    </w:p>
    <w:p w14:paraId="21AD0CA4" w14:textId="77777777" w:rsidR="00BD0F79" w:rsidRDefault="00BD0F79" w:rsidP="00E00A01">
      <w:pPr>
        <w:ind w:firstLine="720"/>
        <w:rPr>
          <w:rFonts w:ascii="Palatino Linotype" w:hAnsi="Palatino Linotype"/>
          <w:sz w:val="24"/>
          <w:szCs w:val="24"/>
        </w:rPr>
      </w:pPr>
    </w:p>
    <w:p w14:paraId="43F9B8FE" w14:textId="136B97D9"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While many believers in the Medical Model insist that the position is scientifically developed, it is principally faith based. Psychiatrist Sami Tamimi explains how determining what is true about the human soul/mind is not a matter of natural science but is principally one of belief (epistemology):</w:t>
      </w:r>
    </w:p>
    <w:p w14:paraId="5E3ACD80" w14:textId="77777777" w:rsidR="00E00A01" w:rsidRPr="00E00A01" w:rsidRDefault="00E00A01" w:rsidP="00E00A01">
      <w:pPr>
        <w:ind w:firstLine="720"/>
        <w:rPr>
          <w:rFonts w:ascii="Palatino Linotype" w:hAnsi="Palatino Linotype"/>
          <w:sz w:val="24"/>
          <w:szCs w:val="24"/>
        </w:rPr>
      </w:pPr>
    </w:p>
    <w:p w14:paraId="6F562ACB" w14:textId="5B145621" w:rsidR="00E00A01" w:rsidRPr="00E00A01" w:rsidRDefault="00E00A01" w:rsidP="00BD0F79">
      <w:pPr>
        <w:ind w:left="720"/>
        <w:rPr>
          <w:rFonts w:ascii="Palatino Linotype" w:hAnsi="Palatino Linotype"/>
          <w:sz w:val="24"/>
          <w:szCs w:val="24"/>
        </w:rPr>
      </w:pPr>
      <w:r w:rsidRPr="00E00A01">
        <w:rPr>
          <w:rFonts w:ascii="Palatino Linotype" w:hAnsi="Palatino Linotype"/>
          <w:sz w:val="24"/>
          <w:szCs w:val="24"/>
        </w:rPr>
        <w:t xml:space="preserve">Once we reach into what we construct as the mind (or the psyche if you want to sound scientific, or the soul if you prefer a religious frame) we have very few givens biologically. </w:t>
      </w:r>
      <w:r w:rsidRPr="00E00A01">
        <w:rPr>
          <w:rFonts w:ascii="Palatino Linotype" w:hAnsi="Palatino Linotype"/>
          <w:i/>
          <w:sz w:val="24"/>
          <w:szCs w:val="24"/>
        </w:rPr>
        <w:t xml:space="preserve">What we make of our embodied physiology relies on what paradigm we wish to superimpose on what we observe and experience. We have no scientific window on the mind; </w:t>
      </w:r>
      <w:r w:rsidRPr="00E00A01">
        <w:rPr>
          <w:rFonts w:ascii="Palatino Linotype" w:hAnsi="Palatino Linotype"/>
          <w:sz w:val="24"/>
          <w:szCs w:val="24"/>
        </w:rPr>
        <w:t>we can only measure (environmental) inputs and (functioning) outputs. We have no idea what goes on in between. Neither psychology nor neuroscience</w:t>
      </w:r>
      <w:r w:rsidR="00BD0F79">
        <w:rPr>
          <w:rFonts w:ascii="Palatino Linotype" w:hAnsi="Palatino Linotype"/>
          <w:sz w:val="24"/>
          <w:szCs w:val="24"/>
        </w:rPr>
        <w:t xml:space="preserve"> </w:t>
      </w:r>
      <w:r w:rsidRPr="00E00A01">
        <w:rPr>
          <w:rFonts w:ascii="Palatino Linotype" w:hAnsi="Palatino Linotype"/>
          <w:sz w:val="24"/>
          <w:szCs w:val="24"/>
        </w:rPr>
        <w:t xml:space="preserve">has been able to tell us anything particularly universal about that in-between bit. </w:t>
      </w:r>
      <w:r w:rsidRPr="00E00A01">
        <w:rPr>
          <w:rFonts w:ascii="Palatino Linotype" w:hAnsi="Palatino Linotype"/>
          <w:i/>
          <w:sz w:val="24"/>
          <w:szCs w:val="24"/>
        </w:rPr>
        <w:t xml:space="preserve">Understanding the mind requires a different </w:t>
      </w:r>
      <w:r w:rsidRPr="00E00A01">
        <w:rPr>
          <w:rFonts w:ascii="Palatino Linotype" w:hAnsi="Palatino Linotype"/>
          <w:i/>
          <w:sz w:val="24"/>
          <w:szCs w:val="24"/>
        </w:rPr>
        <w:lastRenderedPageBreak/>
        <w:t xml:space="preserve">epistemology to that of the natural sciences </w:t>
      </w:r>
      <w:r w:rsidRPr="00E00A01">
        <w:rPr>
          <w:rFonts w:ascii="Palatino Linotype" w:hAnsi="Palatino Linotype"/>
          <w:sz w:val="24"/>
          <w:szCs w:val="24"/>
        </w:rPr>
        <w:t>[emphasis added].</w:t>
      </w:r>
      <w:r w:rsidR="005A3775">
        <w:rPr>
          <w:rStyle w:val="FootnoteReference"/>
          <w:rFonts w:ascii="Palatino Linotype" w:hAnsi="Palatino Linotype"/>
          <w:sz w:val="24"/>
          <w:szCs w:val="24"/>
        </w:rPr>
        <w:footnoteReference w:id="183"/>
      </w:r>
    </w:p>
    <w:p w14:paraId="6CDAFB5A" w14:textId="77777777" w:rsidR="00BD0F79" w:rsidRDefault="00BD0F79" w:rsidP="00E00A01">
      <w:pPr>
        <w:ind w:firstLine="720"/>
        <w:rPr>
          <w:rFonts w:ascii="Palatino Linotype" w:hAnsi="Palatino Linotype"/>
          <w:sz w:val="24"/>
          <w:szCs w:val="24"/>
        </w:rPr>
      </w:pPr>
    </w:p>
    <w:p w14:paraId="57B4A7F4" w14:textId="2E397219"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Tamimi continues further to rightfully acknowledge that all approaches to the soul are faith based:</w:t>
      </w:r>
    </w:p>
    <w:p w14:paraId="489C1F5F" w14:textId="77777777" w:rsidR="00E00A01" w:rsidRPr="00E00A01" w:rsidRDefault="00E00A01" w:rsidP="00E00A01">
      <w:pPr>
        <w:ind w:firstLine="720"/>
        <w:rPr>
          <w:rFonts w:ascii="Palatino Linotype" w:hAnsi="Palatino Linotype"/>
          <w:sz w:val="24"/>
          <w:szCs w:val="24"/>
        </w:rPr>
      </w:pPr>
    </w:p>
    <w:p w14:paraId="286C5049" w14:textId="2488F078" w:rsidR="00E00A01" w:rsidRPr="00E00A01" w:rsidRDefault="00E00A01" w:rsidP="005A3775">
      <w:pPr>
        <w:ind w:left="720"/>
        <w:rPr>
          <w:rFonts w:ascii="Palatino Linotype" w:hAnsi="Palatino Linotype"/>
          <w:sz w:val="24"/>
          <w:szCs w:val="24"/>
        </w:rPr>
      </w:pPr>
      <w:r w:rsidRPr="00E00A01">
        <w:rPr>
          <w:rFonts w:ascii="Palatino Linotype" w:hAnsi="Palatino Linotype"/>
          <w:i/>
          <w:sz w:val="24"/>
          <w:szCs w:val="24"/>
        </w:rPr>
        <w:t xml:space="preserve">In that sense I see psychology and psychiatry as ultimately branches of philosophy. </w:t>
      </w:r>
      <w:r w:rsidRPr="00E00A01">
        <w:rPr>
          <w:rFonts w:ascii="Palatino Linotype" w:hAnsi="Palatino Linotype"/>
          <w:sz w:val="24"/>
          <w:szCs w:val="24"/>
        </w:rPr>
        <w:t xml:space="preserve">We </w:t>
      </w:r>
      <w:r w:rsidR="005A3775">
        <w:rPr>
          <w:rFonts w:ascii="Palatino Linotype" w:hAnsi="Palatino Linotype"/>
          <w:sz w:val="24"/>
          <w:szCs w:val="24"/>
        </w:rPr>
        <w:tab/>
      </w:r>
      <w:r w:rsidRPr="00E00A01">
        <w:rPr>
          <w:rFonts w:ascii="Palatino Linotype" w:hAnsi="Palatino Linotype"/>
          <w:sz w:val="24"/>
          <w:szCs w:val="24"/>
        </w:rPr>
        <w:t xml:space="preserve"> always involved in making sense, so that one of the few universal characteristics of the mind is meaning-making. Our meaning-making frameworks (including the professional ones we use) are cultural models that provide us with meaning-making tools with consequences [emphasis added].</w:t>
      </w:r>
      <w:r w:rsidR="005A3775">
        <w:rPr>
          <w:rStyle w:val="FootnoteReference"/>
          <w:rFonts w:ascii="Palatino Linotype" w:hAnsi="Palatino Linotype"/>
          <w:sz w:val="24"/>
          <w:szCs w:val="24"/>
        </w:rPr>
        <w:footnoteReference w:id="184"/>
      </w:r>
    </w:p>
    <w:p w14:paraId="3C563DDF" w14:textId="77777777" w:rsidR="005A3775" w:rsidRDefault="005A3775" w:rsidP="00E00A01">
      <w:pPr>
        <w:ind w:firstLine="720"/>
        <w:rPr>
          <w:rFonts w:ascii="Palatino Linotype" w:hAnsi="Palatino Linotype"/>
          <w:sz w:val="24"/>
          <w:szCs w:val="24"/>
        </w:rPr>
      </w:pPr>
    </w:p>
    <w:p w14:paraId="5E50D304" w14:textId="67E7A29D"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The Medical Model is simply a “professional” humanistic framework that attempts to make meaning of humanity’s immaterial reality apart from the Creator God’s wisdom.</w:t>
      </w:r>
    </w:p>
    <w:p w14:paraId="6720B260" w14:textId="77777777" w:rsidR="005A3775" w:rsidRDefault="005A3775" w:rsidP="00E00A01">
      <w:pPr>
        <w:ind w:firstLine="720"/>
        <w:rPr>
          <w:rFonts w:ascii="Palatino Linotype" w:hAnsi="Palatino Linotype"/>
          <w:sz w:val="24"/>
          <w:szCs w:val="24"/>
        </w:rPr>
      </w:pPr>
    </w:p>
    <w:p w14:paraId="5DBC19C4" w14:textId="158B4553"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Still other clinicians acknowledge that if the Medical Model is to be perpetuated as scientifically sound, then both God and His immaterial image, after which man was fashioned, must be denied or completely recast within the Medical Model’s material framework: “As part of the supernatural realm, immaterial souls and a transcendent God are not amenable to the tools of science. So this strategy is a scientific dead end.”</w:t>
      </w:r>
      <w:r w:rsidR="005A3775">
        <w:rPr>
          <w:rStyle w:val="FootnoteReference"/>
          <w:rFonts w:ascii="Palatino Linotype" w:hAnsi="Palatino Linotype"/>
          <w:sz w:val="24"/>
          <w:szCs w:val="24"/>
        </w:rPr>
        <w:footnoteReference w:id="185"/>
      </w:r>
      <w:r w:rsidRPr="00E00A01">
        <w:rPr>
          <w:rFonts w:ascii="Palatino Linotype" w:hAnsi="Palatino Linotype"/>
          <w:sz w:val="24"/>
          <w:szCs w:val="24"/>
        </w:rPr>
        <w:t xml:space="preserve"> Psychiatrist Nancy Andreasen agrees with the rejection of dualism and highlights that this approach to the soul is both theoretical and moral in nature:</w:t>
      </w:r>
    </w:p>
    <w:p w14:paraId="143561D4" w14:textId="77777777" w:rsidR="00E00A01" w:rsidRPr="00E00A01" w:rsidRDefault="00E00A01" w:rsidP="00E00A01">
      <w:pPr>
        <w:ind w:firstLine="720"/>
        <w:rPr>
          <w:rFonts w:ascii="Palatino Linotype" w:hAnsi="Palatino Linotype"/>
          <w:sz w:val="24"/>
          <w:szCs w:val="24"/>
        </w:rPr>
      </w:pPr>
    </w:p>
    <w:p w14:paraId="5EF6AB86" w14:textId="45F719CC" w:rsidR="00E00A01" w:rsidRPr="00E00A01" w:rsidRDefault="00E00A01" w:rsidP="005A3775">
      <w:pPr>
        <w:ind w:left="720"/>
        <w:rPr>
          <w:rFonts w:ascii="Palatino Linotype" w:hAnsi="Palatino Linotype"/>
          <w:sz w:val="24"/>
          <w:szCs w:val="24"/>
        </w:rPr>
      </w:pPr>
      <w:r w:rsidRPr="00E00A01">
        <w:rPr>
          <w:rFonts w:ascii="Palatino Linotype" w:hAnsi="Palatino Linotype"/>
          <w:sz w:val="24"/>
          <w:szCs w:val="24"/>
        </w:rPr>
        <w:t xml:space="preserve">Thus, the gifts of modern science and the philosophy of the Enlightenment to the creation of our specialty of psychiatry included stressing the importance of careful observation in order to understand disease mechanisms and progression, an emphasis on the dignity of the individual, the value of “moral treatment,” </w:t>
      </w:r>
      <w:r w:rsidRPr="00E00A01">
        <w:rPr>
          <w:rFonts w:ascii="Palatino Linotype" w:hAnsi="Palatino Linotype"/>
          <w:i/>
          <w:sz w:val="24"/>
          <w:szCs w:val="24"/>
        </w:rPr>
        <w:t xml:space="preserve">and the integration of “mind,” “spirit,” and “brain” rather than a dualistic understanding. </w:t>
      </w:r>
      <w:r w:rsidRPr="00E00A01">
        <w:rPr>
          <w:rFonts w:ascii="Palatino Linotype" w:hAnsi="Palatino Linotype"/>
          <w:sz w:val="24"/>
          <w:szCs w:val="24"/>
        </w:rPr>
        <w:t>This has given psychiatry a firm conceptual and moral grounding that it should strive to maintain [emphasis added].</w:t>
      </w:r>
      <w:r w:rsidR="005A3775">
        <w:rPr>
          <w:rStyle w:val="FootnoteReference"/>
          <w:rFonts w:ascii="Palatino Linotype" w:hAnsi="Palatino Linotype"/>
          <w:sz w:val="24"/>
          <w:szCs w:val="24"/>
        </w:rPr>
        <w:footnoteReference w:id="186"/>
      </w:r>
    </w:p>
    <w:p w14:paraId="7B8C0048" w14:textId="77777777" w:rsidR="005A3775" w:rsidRDefault="005A3775" w:rsidP="00E00A01">
      <w:pPr>
        <w:ind w:firstLine="720"/>
        <w:rPr>
          <w:rFonts w:ascii="Palatino Linotype" w:hAnsi="Palatino Linotype"/>
          <w:sz w:val="24"/>
          <w:szCs w:val="24"/>
        </w:rPr>
      </w:pPr>
    </w:p>
    <w:p w14:paraId="2C8CF77E" w14:textId="44F3B454" w:rsidR="00E00A01" w:rsidRDefault="00E00A01" w:rsidP="005A3775">
      <w:pPr>
        <w:ind w:firstLine="720"/>
        <w:rPr>
          <w:rFonts w:ascii="Palatino Linotype" w:hAnsi="Palatino Linotype"/>
          <w:sz w:val="24"/>
          <w:szCs w:val="24"/>
        </w:rPr>
      </w:pPr>
      <w:r w:rsidRPr="00E00A01">
        <w:rPr>
          <w:rFonts w:ascii="Palatino Linotype" w:hAnsi="Palatino Linotype"/>
          <w:sz w:val="24"/>
          <w:szCs w:val="24"/>
        </w:rPr>
        <w:t xml:space="preserve">If humanists fail to uphold materialism and the soul is not recast as an organic entity or at a minimum as a biological effect of the brain, then humanity must consider </w:t>
      </w:r>
      <w:r w:rsidRPr="00E00A01">
        <w:rPr>
          <w:rFonts w:ascii="Palatino Linotype" w:hAnsi="Palatino Linotype"/>
          <w:sz w:val="24"/>
          <w:szCs w:val="24"/>
        </w:rPr>
        <w:lastRenderedPageBreak/>
        <w:t>both that God exists and that He perfectly explains and resolves human nature’s destructive characteristics and tendencies according to His lovingkindness and original design. Harvard Geneticist Richard Lewontin submits that:</w:t>
      </w:r>
    </w:p>
    <w:p w14:paraId="176D9F20" w14:textId="77777777" w:rsidR="005A3775" w:rsidRDefault="005A3775" w:rsidP="005A3775">
      <w:pPr>
        <w:ind w:firstLine="720"/>
        <w:rPr>
          <w:rFonts w:ascii="Palatino Linotype" w:hAnsi="Palatino Linotype"/>
          <w:sz w:val="24"/>
          <w:szCs w:val="24"/>
        </w:rPr>
      </w:pPr>
    </w:p>
    <w:p w14:paraId="377B1560" w14:textId="09F44742" w:rsidR="00E00A01" w:rsidRDefault="00E00A01" w:rsidP="005A3775">
      <w:pPr>
        <w:ind w:left="720"/>
        <w:rPr>
          <w:rFonts w:ascii="Palatino Linotype" w:hAnsi="Palatino Linotype"/>
          <w:sz w:val="24"/>
          <w:szCs w:val="24"/>
        </w:rPr>
      </w:pPr>
      <w:r w:rsidRPr="00E00A01">
        <w:rPr>
          <w:rFonts w:ascii="Palatino Linotype" w:hAnsi="Palatino Linotype"/>
          <w:sz w:val="24"/>
          <w:szCs w:val="24"/>
        </w:rPr>
        <w:t>it is not that the methods of and institutions of science somehow compel us to accept a material explanation of the phenomenal world, but on the contrary, that we are forced by our a priori adherence to material causes to create an apparatus of investigation and a set of concepts that produce material explanations, no matter how counterintuitive, no matter how mystifying to the uninitiated. Moreover, that materialism is absolute, for we cannot allow a Divine Foot in the door.</w:t>
      </w:r>
      <w:r w:rsidR="005A3775">
        <w:rPr>
          <w:rStyle w:val="FootnoteReference"/>
          <w:rFonts w:ascii="Palatino Linotype" w:hAnsi="Palatino Linotype"/>
          <w:sz w:val="24"/>
          <w:szCs w:val="24"/>
        </w:rPr>
        <w:footnoteReference w:id="187"/>
      </w:r>
    </w:p>
    <w:p w14:paraId="01DC8188" w14:textId="77777777" w:rsidR="005A3775" w:rsidRPr="00E00A01" w:rsidRDefault="005A3775" w:rsidP="005A3775">
      <w:pPr>
        <w:ind w:left="720"/>
        <w:rPr>
          <w:rFonts w:ascii="Palatino Linotype" w:hAnsi="Palatino Linotype"/>
          <w:sz w:val="24"/>
          <w:szCs w:val="24"/>
        </w:rPr>
      </w:pPr>
    </w:p>
    <w:p w14:paraId="07EFDB3F" w14:textId="7777777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As Lewontin notes, this position is not founded upon empirical evidence but is based upon presuppositional faith in beliefs which demand that all realities, including those which are metaphysical, be reduced to faith in scientism at all costs. The soul is no exception to this dogma. Allen Frances divulges his own corresponding beliefs,</w:t>
      </w:r>
    </w:p>
    <w:p w14:paraId="17BAAB6C" w14:textId="77777777" w:rsidR="00E00A01" w:rsidRPr="00E00A01" w:rsidRDefault="00E00A01" w:rsidP="00E00A01">
      <w:pPr>
        <w:ind w:firstLine="720"/>
        <w:rPr>
          <w:rFonts w:ascii="Palatino Linotype" w:hAnsi="Palatino Linotype"/>
          <w:sz w:val="24"/>
          <w:szCs w:val="24"/>
        </w:rPr>
      </w:pPr>
    </w:p>
    <w:p w14:paraId="6F4F162A" w14:textId="6ADC48EA" w:rsidR="00E00A01" w:rsidRPr="00E00A01" w:rsidRDefault="00E00A01" w:rsidP="00794DB2">
      <w:pPr>
        <w:ind w:left="720"/>
        <w:rPr>
          <w:rFonts w:ascii="Palatino Linotype" w:hAnsi="Palatino Linotype"/>
          <w:sz w:val="24"/>
          <w:szCs w:val="24"/>
        </w:rPr>
      </w:pPr>
      <w:r w:rsidRPr="00E00A01">
        <w:rPr>
          <w:rFonts w:ascii="Palatino Linotype" w:hAnsi="Palatino Linotype"/>
          <w:sz w:val="24"/>
          <w:szCs w:val="24"/>
        </w:rPr>
        <w:t>The new biology of brain would explain behaviors previously considered to be within the abstract providences of the philosophers and the theologians. It might be impossible to plumb the depths of the human soul, but it should be possible to figure out the structural specification and electrical connections of the human brain.</w:t>
      </w:r>
      <w:r w:rsidR="00794DB2">
        <w:rPr>
          <w:rStyle w:val="FootnoteReference"/>
          <w:rFonts w:ascii="Palatino Linotype" w:hAnsi="Palatino Linotype"/>
          <w:sz w:val="24"/>
          <w:szCs w:val="24"/>
        </w:rPr>
        <w:footnoteReference w:id="188"/>
      </w:r>
    </w:p>
    <w:p w14:paraId="7D19C669" w14:textId="77777777" w:rsidR="00794DB2" w:rsidRDefault="00794DB2" w:rsidP="00E00A01">
      <w:pPr>
        <w:ind w:firstLine="720"/>
        <w:rPr>
          <w:rFonts w:ascii="Palatino Linotype" w:hAnsi="Palatino Linotype"/>
          <w:sz w:val="24"/>
          <w:szCs w:val="24"/>
        </w:rPr>
      </w:pPr>
    </w:p>
    <w:p w14:paraId="4812317C" w14:textId="0289D76B"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Former head of neuro-bio-chemistry at the NIH Candace Pert likewise contends,</w:t>
      </w:r>
    </w:p>
    <w:p w14:paraId="7D012EFF" w14:textId="77777777" w:rsidR="00E00A01" w:rsidRPr="00E00A01" w:rsidRDefault="00E00A01" w:rsidP="00E00A01">
      <w:pPr>
        <w:ind w:firstLine="720"/>
        <w:rPr>
          <w:rFonts w:ascii="Palatino Linotype" w:hAnsi="Palatino Linotype"/>
          <w:sz w:val="24"/>
          <w:szCs w:val="24"/>
        </w:rPr>
      </w:pPr>
    </w:p>
    <w:p w14:paraId="3174DB62" w14:textId="7D92AED5" w:rsidR="00E00A01" w:rsidRDefault="00E00A01" w:rsidP="00794DB2">
      <w:pPr>
        <w:ind w:left="720"/>
        <w:rPr>
          <w:rFonts w:ascii="Palatino Linotype" w:hAnsi="Palatino Linotype"/>
          <w:sz w:val="24"/>
          <w:szCs w:val="24"/>
        </w:rPr>
      </w:pPr>
      <w:r w:rsidRPr="00E00A01">
        <w:rPr>
          <w:rFonts w:ascii="Palatino Linotype" w:hAnsi="Palatino Linotype"/>
          <w:sz w:val="24"/>
          <w:szCs w:val="24"/>
        </w:rPr>
        <w:t>If psychological contributions to physical health and disease are viewed with suspicion, the suggestion that the soul—literal translation of psyche—might matter is considered downright absurd. For now we are getting into the mystical realm, where scientists have been officially forbidden to tread ever since the seventeenth century.</w:t>
      </w:r>
      <w:r w:rsidR="00794DB2">
        <w:rPr>
          <w:rStyle w:val="FootnoteReference"/>
          <w:rFonts w:ascii="Palatino Linotype" w:hAnsi="Palatino Linotype"/>
          <w:sz w:val="24"/>
          <w:szCs w:val="24"/>
        </w:rPr>
        <w:footnoteReference w:id="189"/>
      </w:r>
    </w:p>
    <w:p w14:paraId="3158F264" w14:textId="77777777" w:rsidR="00794DB2" w:rsidRPr="00E00A01" w:rsidRDefault="00794DB2" w:rsidP="00794DB2">
      <w:pPr>
        <w:ind w:left="720"/>
        <w:rPr>
          <w:rFonts w:ascii="Palatino Linotype" w:hAnsi="Palatino Linotype"/>
          <w:sz w:val="24"/>
          <w:szCs w:val="24"/>
        </w:rPr>
      </w:pPr>
    </w:p>
    <w:p w14:paraId="6B1103E8" w14:textId="13997E82"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 xml:space="preserve">This well-known psychiatric tenet of faith led professor of psychiatry Robert Daly to boldly assert that “in psychiatry, you can do biology in the morning and </w:t>
      </w:r>
      <w:r w:rsidRPr="00E00A01">
        <w:rPr>
          <w:rFonts w:ascii="Palatino Linotype" w:hAnsi="Palatino Linotype"/>
          <w:sz w:val="24"/>
          <w:szCs w:val="24"/>
        </w:rPr>
        <w:lastRenderedPageBreak/>
        <w:t>theology in the afternoon!”</w:t>
      </w:r>
      <w:r w:rsidR="00FF4D22">
        <w:rPr>
          <w:rStyle w:val="FootnoteReference"/>
          <w:rFonts w:ascii="Palatino Linotype" w:hAnsi="Palatino Linotype"/>
          <w:sz w:val="24"/>
          <w:szCs w:val="24"/>
        </w:rPr>
        <w:footnoteReference w:id="190"/>
      </w:r>
      <w:r w:rsidRPr="00E00A01">
        <w:rPr>
          <w:rFonts w:ascii="Palatino Linotype" w:hAnsi="Palatino Linotype"/>
          <w:sz w:val="24"/>
          <w:szCs w:val="24"/>
        </w:rPr>
        <w:t xml:space="preserve"> Unfortunately, many Christians have accepted this faith expressed in Daly’s words, unaware of what lies beyond the veil of their own knowledge.</w:t>
      </w:r>
    </w:p>
    <w:p w14:paraId="3B4A92FF" w14:textId="77777777" w:rsidR="000A6142" w:rsidRDefault="000A6142" w:rsidP="000A6142">
      <w:pPr>
        <w:rPr>
          <w:rFonts w:ascii="Palatino Linotype" w:hAnsi="Palatino Linotype"/>
          <w:sz w:val="24"/>
          <w:szCs w:val="24"/>
        </w:rPr>
      </w:pPr>
    </w:p>
    <w:p w14:paraId="32102640" w14:textId="0EF07F26" w:rsidR="00E00A01" w:rsidRPr="00E00A01" w:rsidRDefault="00E00A01" w:rsidP="000A6142">
      <w:pPr>
        <w:jc w:val="center"/>
        <w:rPr>
          <w:rFonts w:ascii="Palatino Linotype" w:hAnsi="Palatino Linotype"/>
          <w:b/>
          <w:bCs/>
          <w:sz w:val="24"/>
          <w:szCs w:val="24"/>
        </w:rPr>
      </w:pPr>
      <w:r w:rsidRPr="00E00A01">
        <w:rPr>
          <w:rFonts w:ascii="Palatino Linotype" w:hAnsi="Palatino Linotype"/>
          <w:b/>
          <w:bCs/>
          <w:sz w:val="24"/>
          <w:szCs w:val="24"/>
        </w:rPr>
        <w:t>The Medical Model Exists as a Vital Tenet of Humanistic Faith</w:t>
      </w:r>
    </w:p>
    <w:p w14:paraId="309836D9" w14:textId="7777777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 xml:space="preserve">When the curtain of the Medical Model of Mental Disorders is pulled back, it becomes evident that the true substance of this paradigm is the vain philosophies of men. The specific field of study under which psychiatry and its BPS model exist is humanistic </w:t>
      </w:r>
      <w:r w:rsidRPr="00E00A01">
        <w:rPr>
          <w:rFonts w:ascii="Palatino Linotype" w:hAnsi="Palatino Linotype"/>
          <w:i/>
          <w:sz w:val="24"/>
          <w:szCs w:val="24"/>
        </w:rPr>
        <w:t>phenomenology</w:t>
      </w:r>
      <w:r w:rsidRPr="00E00A01">
        <w:rPr>
          <w:rFonts w:ascii="Palatino Linotype" w:hAnsi="Palatino Linotype"/>
          <w:sz w:val="24"/>
          <w:szCs w:val="24"/>
        </w:rPr>
        <w:t>. The Medical Model, rather than being the all-powerful deliverer of the human soul, is merely one phenomenology/faith stemming from humanistic epistemology.</w:t>
      </w:r>
    </w:p>
    <w:p w14:paraId="7DDE6016" w14:textId="77777777" w:rsidR="00E00A01" w:rsidRDefault="00E00A01" w:rsidP="00E00A01">
      <w:pPr>
        <w:ind w:firstLine="720"/>
        <w:rPr>
          <w:rFonts w:ascii="Palatino Linotype" w:hAnsi="Palatino Linotype"/>
          <w:sz w:val="24"/>
          <w:szCs w:val="24"/>
        </w:rPr>
      </w:pPr>
    </w:p>
    <w:p w14:paraId="359A9A52" w14:textId="7777777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 xml:space="preserve">It is vital that one carefully look behind the narrative curtain and see objectively for him/herself precisely how the Medical Model is principally a phenomenology. Consider, for instance, one article published in the journal </w:t>
      </w:r>
      <w:r w:rsidRPr="00E00A01">
        <w:rPr>
          <w:rFonts w:ascii="Palatino Linotype" w:hAnsi="Palatino Linotype"/>
          <w:i/>
          <w:sz w:val="24"/>
          <w:szCs w:val="24"/>
        </w:rPr>
        <w:t xml:space="preserve">Frontiers in Psychiatry </w:t>
      </w:r>
      <w:r w:rsidRPr="00E00A01">
        <w:rPr>
          <w:rFonts w:ascii="Palatino Linotype" w:hAnsi="Palatino Linotype"/>
          <w:sz w:val="24"/>
          <w:szCs w:val="24"/>
        </w:rPr>
        <w:t>which clearly states this reality:</w:t>
      </w:r>
    </w:p>
    <w:p w14:paraId="071F133C" w14:textId="77777777" w:rsidR="00E00A01" w:rsidRPr="00E00A01" w:rsidRDefault="00E00A01" w:rsidP="00E00A01">
      <w:pPr>
        <w:ind w:firstLine="720"/>
        <w:rPr>
          <w:rFonts w:ascii="Palatino Linotype" w:hAnsi="Palatino Linotype"/>
          <w:sz w:val="24"/>
          <w:szCs w:val="24"/>
        </w:rPr>
      </w:pPr>
    </w:p>
    <w:p w14:paraId="4E31974C" w14:textId="0C850A2D" w:rsidR="00E00A01" w:rsidRPr="00E00A01" w:rsidRDefault="00E00A01" w:rsidP="00A0565E">
      <w:pPr>
        <w:ind w:left="720"/>
        <w:rPr>
          <w:rFonts w:ascii="Palatino Linotype" w:hAnsi="Palatino Linotype"/>
          <w:sz w:val="24"/>
          <w:szCs w:val="24"/>
        </w:rPr>
      </w:pPr>
      <w:r w:rsidRPr="00E00A01">
        <w:rPr>
          <w:rFonts w:ascii="Palatino Linotype" w:hAnsi="Palatino Linotype"/>
          <w:sz w:val="24"/>
          <w:szCs w:val="24"/>
        </w:rPr>
        <w:t>Phenomenological psychopathology is a body of scientific knowledge on which the clinical practice of psychiatry is based since the first decades of the twentieth century, a method to assess the patient’s abnormal experiences from their own perspective, and more importantly, a science responsible for delimiting the object of psychiatry. . . . Phenomenological psychopathology assesses the life-worlds [the soul] of mental disorders. The Life-world is the world each of us live by, the original, obvious, and unquestioned foundation of everyday acting and thinking.</w:t>
      </w:r>
      <w:r w:rsidR="000D3491">
        <w:rPr>
          <w:rStyle w:val="FootnoteReference"/>
          <w:rFonts w:ascii="Palatino Linotype" w:hAnsi="Palatino Linotype"/>
          <w:sz w:val="24"/>
          <w:szCs w:val="24"/>
        </w:rPr>
        <w:footnoteReference w:id="191"/>
      </w:r>
    </w:p>
    <w:p w14:paraId="1F68B4E5" w14:textId="77777777" w:rsidR="000A6142" w:rsidRDefault="000A6142" w:rsidP="00E00A01">
      <w:pPr>
        <w:ind w:firstLine="720"/>
        <w:rPr>
          <w:rFonts w:ascii="Palatino Linotype" w:hAnsi="Palatino Linotype"/>
          <w:sz w:val="24"/>
          <w:szCs w:val="24"/>
        </w:rPr>
      </w:pPr>
    </w:p>
    <w:p w14:paraId="5F8628C8" w14:textId="76DF1BF8"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Similarly, one group of psychiatrists forthrightly declares, “Phenomenology makes psychiatry work.”</w:t>
      </w:r>
      <w:r w:rsidR="000D3491">
        <w:rPr>
          <w:rStyle w:val="FootnoteReference"/>
          <w:rFonts w:ascii="Palatino Linotype" w:hAnsi="Palatino Linotype"/>
          <w:sz w:val="24"/>
          <w:szCs w:val="24"/>
        </w:rPr>
        <w:footnoteReference w:id="192"/>
      </w:r>
      <w:r w:rsidRPr="00E00A01">
        <w:rPr>
          <w:rFonts w:ascii="Palatino Linotype" w:hAnsi="Palatino Linotype"/>
          <w:sz w:val="24"/>
          <w:szCs w:val="24"/>
        </w:rPr>
        <w:t xml:space="preserve"> Still others, writing in the </w:t>
      </w:r>
      <w:r w:rsidRPr="00E00A01">
        <w:rPr>
          <w:rFonts w:ascii="Palatino Linotype" w:hAnsi="Palatino Linotype"/>
          <w:i/>
          <w:sz w:val="24"/>
          <w:szCs w:val="24"/>
        </w:rPr>
        <w:t xml:space="preserve">Journal of Psychopathology, </w:t>
      </w:r>
      <w:r w:rsidRPr="00E00A01">
        <w:rPr>
          <w:rFonts w:ascii="Palatino Linotype" w:hAnsi="Palatino Linotype"/>
          <w:sz w:val="24"/>
          <w:szCs w:val="24"/>
        </w:rPr>
        <w:t>offer their own insight:</w:t>
      </w:r>
    </w:p>
    <w:p w14:paraId="38D76942" w14:textId="77777777" w:rsidR="00E00A01" w:rsidRPr="00E00A01" w:rsidRDefault="00E00A01" w:rsidP="00E00A01">
      <w:pPr>
        <w:ind w:firstLine="720"/>
        <w:rPr>
          <w:rFonts w:ascii="Palatino Linotype" w:hAnsi="Palatino Linotype"/>
          <w:sz w:val="24"/>
          <w:szCs w:val="24"/>
        </w:rPr>
      </w:pPr>
    </w:p>
    <w:p w14:paraId="3AEDD255" w14:textId="6188ABF6" w:rsidR="00E00A01" w:rsidRPr="00E00A01" w:rsidRDefault="00E00A01" w:rsidP="00A0565E">
      <w:pPr>
        <w:ind w:left="720"/>
        <w:rPr>
          <w:rFonts w:ascii="Palatino Linotype" w:hAnsi="Palatino Linotype"/>
          <w:sz w:val="24"/>
          <w:szCs w:val="24"/>
        </w:rPr>
      </w:pPr>
      <w:r w:rsidRPr="00E00A01">
        <w:rPr>
          <w:rFonts w:ascii="Palatino Linotype" w:hAnsi="Palatino Linotype"/>
          <w:sz w:val="24"/>
          <w:szCs w:val="24"/>
        </w:rPr>
        <w:lastRenderedPageBreak/>
        <w:t>Phenomenology may well be regarded as a foundational science not only for psychopathological knowledge, but also for the theory and practice of psychotherapy. It provides an approach that captures human existence in all its dimensions, from self-awareness and embodiment (including their prereflexive and “unconscious” forms), to spatiality, temporality, narrativity and intersubjectivity. Moreover, it offers a view that localizes mental disorder neither in the hidden convolutions of the brain nor in the hidden corners of the patient’s psyche, but rather in his lived experience and relations with others.</w:t>
      </w:r>
      <w:r w:rsidR="000D3491">
        <w:rPr>
          <w:rStyle w:val="FootnoteReference"/>
          <w:rFonts w:ascii="Palatino Linotype" w:hAnsi="Palatino Linotype"/>
          <w:sz w:val="24"/>
          <w:szCs w:val="24"/>
        </w:rPr>
        <w:footnoteReference w:id="193"/>
      </w:r>
    </w:p>
    <w:p w14:paraId="457BF007" w14:textId="334E1411" w:rsidR="00E00A01" w:rsidRPr="00E00A01" w:rsidRDefault="00E00A01" w:rsidP="00A34699">
      <w:pPr>
        <w:rPr>
          <w:rFonts w:ascii="Palatino Linotype" w:hAnsi="Palatino Linotype"/>
          <w:sz w:val="24"/>
          <w:szCs w:val="24"/>
        </w:rPr>
      </w:pPr>
    </w:p>
    <w:p w14:paraId="3EB40513" w14:textId="7777777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Former head of the Royal College of Psychiatrists Andrew Sims also discusses psychiatrists’ dependence upon phenomenology:</w:t>
      </w:r>
    </w:p>
    <w:p w14:paraId="1B337D26" w14:textId="77777777" w:rsidR="00E00A01" w:rsidRPr="00E00A01" w:rsidRDefault="00E00A01" w:rsidP="00E00A01">
      <w:pPr>
        <w:ind w:firstLine="720"/>
        <w:rPr>
          <w:rFonts w:ascii="Palatino Linotype" w:hAnsi="Palatino Linotype"/>
          <w:sz w:val="24"/>
          <w:szCs w:val="24"/>
        </w:rPr>
      </w:pPr>
    </w:p>
    <w:p w14:paraId="2154ED14" w14:textId="1162E28A" w:rsidR="00E00A01" w:rsidRPr="00E00A01" w:rsidRDefault="00E00A01" w:rsidP="007F15D9">
      <w:pPr>
        <w:ind w:left="720"/>
        <w:rPr>
          <w:rFonts w:ascii="Palatino Linotype" w:hAnsi="Palatino Linotype"/>
          <w:sz w:val="24"/>
          <w:szCs w:val="24"/>
        </w:rPr>
      </w:pPr>
      <w:r w:rsidRPr="00E00A01">
        <w:rPr>
          <w:rFonts w:ascii="Palatino Linotype" w:hAnsi="Palatino Linotype"/>
          <w:sz w:val="24"/>
          <w:szCs w:val="24"/>
        </w:rPr>
        <w:t>Phenomenology, as used in psychiatry, involves observing and categorizing abnormal psychological states, the internal experiences of the patient and his consequent behavior. How can one observe an internal experience? By using empathy to explore the patient’s subjective state.</w:t>
      </w:r>
      <w:r w:rsidR="00EA24F7">
        <w:rPr>
          <w:rStyle w:val="FootnoteReference"/>
          <w:rFonts w:ascii="Palatino Linotype" w:hAnsi="Palatino Linotype"/>
          <w:sz w:val="24"/>
          <w:szCs w:val="24"/>
        </w:rPr>
        <w:footnoteReference w:id="194"/>
      </w:r>
    </w:p>
    <w:p w14:paraId="62E81021" w14:textId="77777777" w:rsidR="00E00A01" w:rsidRDefault="00E00A01" w:rsidP="00EA24F7">
      <w:pPr>
        <w:rPr>
          <w:rFonts w:ascii="Palatino Linotype" w:hAnsi="Palatino Linotype"/>
          <w:sz w:val="24"/>
          <w:szCs w:val="24"/>
        </w:rPr>
      </w:pPr>
    </w:p>
    <w:p w14:paraId="132516CB" w14:textId="7777777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 xml:space="preserve">The Medical Model of mental disorders is such a unique faith that philosophers utilize it to test other philosophies. Chair of psychiatry at the University of Massachusetts Medical School and chair of the </w:t>
      </w:r>
      <w:r w:rsidRPr="00E00A01">
        <w:rPr>
          <w:rFonts w:ascii="Palatino Linotype" w:hAnsi="Palatino Linotype"/>
          <w:i/>
          <w:sz w:val="24"/>
          <w:szCs w:val="24"/>
        </w:rPr>
        <w:t xml:space="preserve">DSM </w:t>
      </w:r>
      <w:r w:rsidRPr="00E00A01">
        <w:rPr>
          <w:rFonts w:ascii="Palatino Linotype" w:hAnsi="Palatino Linotype"/>
          <w:sz w:val="24"/>
          <w:szCs w:val="24"/>
        </w:rPr>
        <w:t>steering committee Paul Appelbaum explains,</w:t>
      </w:r>
    </w:p>
    <w:p w14:paraId="10E81DF9" w14:textId="77777777" w:rsidR="00E00A01" w:rsidRPr="00E00A01" w:rsidRDefault="00E00A01" w:rsidP="00E00A01">
      <w:pPr>
        <w:ind w:firstLine="720"/>
        <w:rPr>
          <w:rFonts w:ascii="Palatino Linotype" w:hAnsi="Palatino Linotype"/>
          <w:sz w:val="24"/>
          <w:szCs w:val="24"/>
        </w:rPr>
      </w:pPr>
    </w:p>
    <w:p w14:paraId="33D2A416" w14:textId="7C49DAA8" w:rsidR="00E00A01" w:rsidRPr="00E00A01" w:rsidRDefault="00E00A01" w:rsidP="007F15D9">
      <w:pPr>
        <w:ind w:left="720"/>
        <w:rPr>
          <w:rFonts w:ascii="Palatino Linotype" w:hAnsi="Palatino Linotype"/>
          <w:sz w:val="24"/>
          <w:szCs w:val="24"/>
        </w:rPr>
      </w:pPr>
      <w:r w:rsidRPr="00E00A01">
        <w:rPr>
          <w:rFonts w:ascii="Palatino Linotype" w:hAnsi="Palatino Linotype"/>
          <w:sz w:val="24"/>
          <w:szCs w:val="24"/>
        </w:rPr>
        <w:t>Though I can speak firsthand about the value of philosophy for the psychiatrist, I must rely on the judgments of my philosopher-friends regarding the usefulness of the study of psychiatric disorders for the philosopher. They tell me that the phenomenology of mental disorders, the complex ethical issues that arise, and the dilemmas inherent in the line-drawing process of diagnosis provide challenging opportunities to test and refine philosophical theories.</w:t>
      </w:r>
      <w:r w:rsidR="00D749AA">
        <w:rPr>
          <w:rStyle w:val="FootnoteReference"/>
          <w:rFonts w:ascii="Palatino Linotype" w:hAnsi="Palatino Linotype"/>
          <w:sz w:val="24"/>
          <w:szCs w:val="24"/>
        </w:rPr>
        <w:footnoteReference w:id="195"/>
      </w:r>
    </w:p>
    <w:p w14:paraId="4986E9AB" w14:textId="77777777" w:rsidR="007F15D9" w:rsidRDefault="007F15D9" w:rsidP="00E00A01">
      <w:pPr>
        <w:ind w:firstLine="720"/>
        <w:rPr>
          <w:rFonts w:ascii="Palatino Linotype" w:hAnsi="Palatino Linotype"/>
          <w:sz w:val="24"/>
          <w:szCs w:val="24"/>
        </w:rPr>
      </w:pPr>
    </w:p>
    <w:p w14:paraId="32EDB689" w14:textId="5991CD89"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 xml:space="preserve">While some psychiatrists claim that phenomenology is scientifically based, others realize it is fundamentally a belief system. Writing in </w:t>
      </w:r>
      <w:r w:rsidRPr="00E00A01">
        <w:rPr>
          <w:rFonts w:ascii="Palatino Linotype" w:hAnsi="Palatino Linotype"/>
          <w:i/>
          <w:sz w:val="24"/>
          <w:szCs w:val="24"/>
        </w:rPr>
        <w:t>Medscape Psychiatry</w:t>
      </w:r>
      <w:r w:rsidRPr="00E00A01">
        <w:rPr>
          <w:rFonts w:ascii="Palatino Linotype" w:hAnsi="Palatino Linotype"/>
          <w:sz w:val="24"/>
          <w:szCs w:val="24"/>
        </w:rPr>
        <w:t>, Nassir Ghaemi articulates how the diagnostic process of the Medical Model is phenomenological, not scientific:</w:t>
      </w:r>
    </w:p>
    <w:p w14:paraId="648077BD" w14:textId="77777777" w:rsidR="00E00A01" w:rsidRPr="00E00A01" w:rsidRDefault="00E00A01" w:rsidP="00E00A01">
      <w:pPr>
        <w:ind w:firstLine="720"/>
        <w:rPr>
          <w:rFonts w:ascii="Palatino Linotype" w:hAnsi="Palatino Linotype"/>
          <w:sz w:val="24"/>
          <w:szCs w:val="24"/>
        </w:rPr>
      </w:pPr>
    </w:p>
    <w:p w14:paraId="2F7E82ED" w14:textId="0C3A7F18" w:rsidR="00E00A01" w:rsidRPr="00E00A01" w:rsidRDefault="00E00A01" w:rsidP="007F15D9">
      <w:pPr>
        <w:ind w:left="720"/>
        <w:rPr>
          <w:rFonts w:ascii="Palatino Linotype" w:hAnsi="Palatino Linotype"/>
          <w:sz w:val="24"/>
          <w:szCs w:val="24"/>
        </w:rPr>
      </w:pPr>
      <w:r w:rsidRPr="00E00A01">
        <w:rPr>
          <w:rFonts w:ascii="Palatino Linotype" w:hAnsi="Palatino Linotype"/>
          <w:sz w:val="24"/>
          <w:szCs w:val="24"/>
        </w:rPr>
        <w:lastRenderedPageBreak/>
        <w:t>By diagnosing patients within the DSM strictures only, we practice non-scientifically; we use hundreds of made-up labels for professional purposes, without really getting at the reality of what is wrong with the patient. Sometimes those patients have diseases; we don’t know what they are. Sometimes they don’t have diseases; we don’t know when that is. And, because the whole process is “pragmatic” and made-up, we make no gradual progress in identifying when diseases are present, and when they are not, and what the causes of those diseases (or non-disease conditions) might be.</w:t>
      </w:r>
      <w:r w:rsidR="00D749AA">
        <w:rPr>
          <w:rStyle w:val="FootnoteReference"/>
          <w:rFonts w:ascii="Palatino Linotype" w:hAnsi="Palatino Linotype"/>
          <w:sz w:val="24"/>
          <w:szCs w:val="24"/>
        </w:rPr>
        <w:footnoteReference w:id="196"/>
      </w:r>
    </w:p>
    <w:p w14:paraId="5F2AA539" w14:textId="77777777" w:rsidR="007F15D9" w:rsidRDefault="007F15D9" w:rsidP="00D749AA">
      <w:pPr>
        <w:rPr>
          <w:rFonts w:ascii="Palatino Linotype" w:hAnsi="Palatino Linotype"/>
          <w:sz w:val="24"/>
          <w:szCs w:val="24"/>
        </w:rPr>
      </w:pPr>
    </w:p>
    <w:p w14:paraId="23717BD7" w14:textId="3618596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Nancy Andreasen agrees that the constructing of psychiatric disorders is entirely phenomenological:</w:t>
      </w:r>
    </w:p>
    <w:p w14:paraId="53A8B45B" w14:textId="77777777" w:rsidR="00E00A01" w:rsidRPr="00E00A01" w:rsidRDefault="00E00A01" w:rsidP="00E00A01">
      <w:pPr>
        <w:ind w:firstLine="720"/>
        <w:rPr>
          <w:rFonts w:ascii="Palatino Linotype" w:hAnsi="Palatino Linotype"/>
          <w:sz w:val="24"/>
          <w:szCs w:val="24"/>
        </w:rPr>
      </w:pPr>
    </w:p>
    <w:p w14:paraId="0A1BEB51" w14:textId="401FA890" w:rsidR="00E00A01" w:rsidRPr="00E00A01" w:rsidRDefault="00E00A01" w:rsidP="007F15D9">
      <w:pPr>
        <w:ind w:left="720"/>
        <w:rPr>
          <w:rFonts w:ascii="Palatino Linotype" w:hAnsi="Palatino Linotype"/>
          <w:sz w:val="24"/>
          <w:szCs w:val="24"/>
        </w:rPr>
      </w:pPr>
      <w:r w:rsidRPr="00E00A01">
        <w:rPr>
          <w:rFonts w:ascii="Palatino Linotype" w:hAnsi="Palatino Linotype"/>
          <w:sz w:val="24"/>
          <w:szCs w:val="24"/>
        </w:rPr>
        <w:t>In many writings in contemporary psychiatry, the term refers to the study of psychopathology, broadly defined, including signs, symptoms, and their underlying thoughts and emotions. When used in this way, phenomenology provides the basis for nosology, or the development of disease definitions, diagnostic categories, or dimensional classifications.</w:t>
      </w:r>
      <w:r w:rsidR="00D749AA">
        <w:rPr>
          <w:rStyle w:val="FootnoteReference"/>
          <w:rFonts w:ascii="Palatino Linotype" w:hAnsi="Palatino Linotype"/>
          <w:sz w:val="24"/>
          <w:szCs w:val="24"/>
        </w:rPr>
        <w:footnoteReference w:id="197"/>
      </w:r>
    </w:p>
    <w:p w14:paraId="71F40086" w14:textId="77777777" w:rsidR="007F15D9" w:rsidRPr="007F15D9" w:rsidRDefault="007F15D9" w:rsidP="00E00A01">
      <w:pPr>
        <w:ind w:firstLine="720"/>
        <w:rPr>
          <w:rFonts w:ascii="Palatino Linotype" w:hAnsi="Palatino Linotype"/>
          <w:sz w:val="24"/>
          <w:szCs w:val="24"/>
        </w:rPr>
      </w:pPr>
    </w:p>
    <w:p w14:paraId="6C1F373F" w14:textId="02116FA0"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All approaches to the soul/mind and corresponding types of counseling/treatments are phenomenological—even if they are marketed as medicinal or as scientifically based.</w:t>
      </w:r>
    </w:p>
    <w:p w14:paraId="33B48808" w14:textId="77777777" w:rsidR="007F15D9" w:rsidRPr="007F15D9" w:rsidRDefault="007F15D9" w:rsidP="007F15D9">
      <w:pPr>
        <w:rPr>
          <w:rFonts w:ascii="Palatino Linotype" w:hAnsi="Palatino Linotype"/>
          <w:sz w:val="24"/>
          <w:szCs w:val="24"/>
        </w:rPr>
      </w:pPr>
    </w:p>
    <w:p w14:paraId="28D6FCD3" w14:textId="76C63249" w:rsidR="00E00A01" w:rsidRPr="007F15D9" w:rsidRDefault="00E00A01" w:rsidP="007F15D9">
      <w:pPr>
        <w:ind w:firstLine="720"/>
        <w:rPr>
          <w:rFonts w:ascii="Palatino Linotype" w:hAnsi="Palatino Linotype"/>
          <w:sz w:val="24"/>
          <w:szCs w:val="24"/>
        </w:rPr>
      </w:pPr>
      <w:r w:rsidRPr="00E00A01">
        <w:rPr>
          <w:rFonts w:ascii="Palatino Linotype" w:hAnsi="Palatino Linotype"/>
          <w:sz w:val="24"/>
          <w:szCs w:val="24"/>
        </w:rPr>
        <w:t>It is also helpful to understand that there are six rudimental ways in which the Medical Model rests upon phenomenology: (1) by defining and attempting to understand the human soul (both individually and corporately) and spiritual experiences/phenomena (e.g., reactions</w:t>
      </w:r>
      <w:r w:rsidRPr="007F15D9">
        <w:rPr>
          <w:rFonts w:ascii="Palatino Linotype" w:hAnsi="Palatino Linotype"/>
          <w:sz w:val="24"/>
          <w:szCs w:val="24"/>
        </w:rPr>
        <w:t xml:space="preserve"> </w:t>
      </w:r>
      <w:r w:rsidRPr="007F15D9">
        <w:rPr>
          <w:rFonts w:ascii="Palatino Linotype" w:hAnsi="Palatino Linotype"/>
          <w:sz w:val="24"/>
          <w:szCs w:val="24"/>
        </w:rPr>
        <w:t>to trauma),</w:t>
      </w:r>
      <w:r w:rsidR="007347E7">
        <w:rPr>
          <w:rStyle w:val="FootnoteReference"/>
          <w:rFonts w:ascii="Palatino Linotype" w:hAnsi="Palatino Linotype"/>
          <w:sz w:val="24"/>
          <w:szCs w:val="24"/>
        </w:rPr>
        <w:footnoteReference w:id="198"/>
      </w:r>
      <w:r w:rsidRPr="007F15D9">
        <w:rPr>
          <w:rFonts w:ascii="Palatino Linotype" w:hAnsi="Palatino Linotype"/>
          <w:sz w:val="24"/>
          <w:szCs w:val="24"/>
        </w:rPr>
        <w:t xml:space="preserve"> (2) by describing, categorizing, attempting to examine, and descriptively labeling human phenomena (including thoughts/desires, emotions, behaviors, beliefs, distressful experiences, etc.),</w:t>
      </w:r>
      <w:r w:rsidR="007347E7">
        <w:rPr>
          <w:rStyle w:val="FootnoteReference"/>
          <w:rFonts w:ascii="Palatino Linotype" w:hAnsi="Palatino Linotype"/>
          <w:sz w:val="24"/>
          <w:szCs w:val="24"/>
        </w:rPr>
        <w:footnoteReference w:id="199"/>
      </w:r>
      <w:r w:rsidRPr="007F15D9">
        <w:rPr>
          <w:rFonts w:ascii="Palatino Linotype" w:hAnsi="Palatino Linotype"/>
          <w:sz w:val="24"/>
          <w:szCs w:val="24"/>
        </w:rPr>
        <w:t xml:space="preserve"> (3) by interpreting the metaphysical content of the soul, behavior, and reactions to life experiences in accordance with a materialistic framework,</w:t>
      </w:r>
      <w:r w:rsidR="007347E7">
        <w:rPr>
          <w:rStyle w:val="FootnoteReference"/>
          <w:rFonts w:ascii="Palatino Linotype" w:hAnsi="Palatino Linotype"/>
          <w:sz w:val="24"/>
          <w:szCs w:val="24"/>
        </w:rPr>
        <w:footnoteReference w:id="200"/>
      </w:r>
      <w:r w:rsidRPr="007F15D9">
        <w:rPr>
          <w:rFonts w:ascii="Palatino Linotype" w:hAnsi="Palatino Linotype"/>
          <w:sz w:val="24"/>
          <w:szCs w:val="24"/>
        </w:rPr>
        <w:t xml:space="preserve"> (4) by judging according to the established moral system and one’s view of origins what aspects of human nature </w:t>
      </w:r>
      <w:r w:rsidRPr="007F15D9">
        <w:rPr>
          <w:rFonts w:ascii="Palatino Linotype" w:hAnsi="Palatino Linotype"/>
          <w:sz w:val="24"/>
          <w:szCs w:val="24"/>
        </w:rPr>
        <w:lastRenderedPageBreak/>
        <w:t>are acceptable/unacceptable or ordered/disordered,</w:t>
      </w:r>
      <w:r w:rsidR="007347E7">
        <w:rPr>
          <w:rStyle w:val="FootnoteReference"/>
          <w:rFonts w:ascii="Palatino Linotype" w:hAnsi="Palatino Linotype"/>
          <w:sz w:val="24"/>
          <w:szCs w:val="24"/>
        </w:rPr>
        <w:footnoteReference w:id="201"/>
      </w:r>
      <w:r w:rsidRPr="007F15D9">
        <w:rPr>
          <w:rFonts w:ascii="Palatino Linotype" w:hAnsi="Palatino Linotype"/>
          <w:sz w:val="24"/>
          <w:szCs w:val="24"/>
        </w:rPr>
        <w:t xml:space="preserve"> (5) by indoctrinating, discipling, and stigmatizing others to share the same materialistic faith,</w:t>
      </w:r>
      <w:r w:rsidR="007347E7">
        <w:rPr>
          <w:rStyle w:val="FootnoteReference"/>
          <w:rFonts w:ascii="Palatino Linotype" w:hAnsi="Palatino Linotype"/>
          <w:sz w:val="24"/>
          <w:szCs w:val="24"/>
        </w:rPr>
        <w:footnoteReference w:id="202"/>
      </w:r>
      <w:r w:rsidRPr="007F15D9">
        <w:rPr>
          <w:rFonts w:ascii="Palatino Linotype" w:hAnsi="Palatino Linotype"/>
          <w:sz w:val="24"/>
          <w:szCs w:val="24"/>
        </w:rPr>
        <w:t xml:space="preserve"> and (6) by prescribing psychotropic drugs that are phenomenologically labeled and which seek to help the consumer to “feel better” rather than to be physically healed.</w:t>
      </w:r>
      <w:r w:rsidR="007347E7">
        <w:rPr>
          <w:rStyle w:val="FootnoteReference"/>
          <w:rFonts w:ascii="Palatino Linotype" w:hAnsi="Palatino Linotype"/>
          <w:sz w:val="24"/>
          <w:szCs w:val="24"/>
        </w:rPr>
        <w:footnoteReference w:id="203"/>
      </w:r>
    </w:p>
    <w:p w14:paraId="5C7DA8B7" w14:textId="77777777" w:rsidR="007F15D9" w:rsidRDefault="007F15D9" w:rsidP="00E00A01">
      <w:pPr>
        <w:ind w:firstLine="720"/>
        <w:rPr>
          <w:rFonts w:ascii="Palatino Linotype" w:hAnsi="Palatino Linotype"/>
          <w:sz w:val="24"/>
          <w:szCs w:val="24"/>
        </w:rPr>
      </w:pPr>
    </w:p>
    <w:p w14:paraId="5AADEBEA" w14:textId="2FD3695C"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Each time humanity attempts to define and explain its very real metaphysical nature, an underlying faith is exposed. The Medical Model has been developed over the last two centuries as not only a complex explanation of human consciousness, but as a veil that seeks to hide the Divine from human consciousness.</w:t>
      </w:r>
    </w:p>
    <w:p w14:paraId="2988B925" w14:textId="77777777" w:rsidR="007F15D9" w:rsidRDefault="007F15D9" w:rsidP="007F15D9">
      <w:pPr>
        <w:rPr>
          <w:rFonts w:ascii="Palatino Linotype" w:hAnsi="Palatino Linotype"/>
          <w:sz w:val="24"/>
          <w:szCs w:val="24"/>
        </w:rPr>
      </w:pPr>
    </w:p>
    <w:p w14:paraId="7128FF8D" w14:textId="71ECEE8E" w:rsidR="00E00A01" w:rsidRPr="00E00A01" w:rsidRDefault="00E00A01" w:rsidP="007F15D9">
      <w:pPr>
        <w:jc w:val="center"/>
        <w:rPr>
          <w:rFonts w:ascii="Palatino Linotype" w:hAnsi="Palatino Linotype"/>
          <w:b/>
          <w:bCs/>
          <w:sz w:val="24"/>
          <w:szCs w:val="24"/>
        </w:rPr>
      </w:pPr>
      <w:r w:rsidRPr="00E00A01">
        <w:rPr>
          <w:rFonts w:ascii="Palatino Linotype" w:hAnsi="Palatino Linotype"/>
          <w:b/>
          <w:bCs/>
          <w:sz w:val="24"/>
          <w:szCs w:val="24"/>
        </w:rPr>
        <w:t>The Medical Model Lacks Evidence and Validity</w:t>
      </w:r>
    </w:p>
    <w:p w14:paraId="4CE0BA89" w14:textId="77777777"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Not only is the belief that the Medical Model of Mental Disorders is scientifically sound exposed to be a myth in both its conception and in its application, but it is not principally evidence based nor has it been validated. While it can be said that all approaches to the soul in regard to observing outworking behavior are evidence based to a limited degree, the soul’s metaphysical nature and metaphysical phenomena determine that its study rests outside of the scientific process.</w:t>
      </w:r>
    </w:p>
    <w:p w14:paraId="420CF806" w14:textId="77777777" w:rsidR="00343ACC" w:rsidRDefault="00343ACC" w:rsidP="00E00A01">
      <w:pPr>
        <w:ind w:firstLine="720"/>
        <w:rPr>
          <w:rFonts w:ascii="Palatino Linotype" w:hAnsi="Palatino Linotype"/>
          <w:sz w:val="24"/>
          <w:szCs w:val="24"/>
        </w:rPr>
      </w:pPr>
    </w:p>
    <w:p w14:paraId="2B2E87C8" w14:textId="7065CE66" w:rsidR="00E00A01" w:rsidRPr="00E00A01" w:rsidRDefault="00E00A01" w:rsidP="00343ACC">
      <w:pPr>
        <w:ind w:firstLine="720"/>
        <w:rPr>
          <w:rFonts w:ascii="Palatino Linotype" w:hAnsi="Palatino Linotype"/>
          <w:sz w:val="24"/>
          <w:szCs w:val="24"/>
        </w:rPr>
      </w:pPr>
      <w:r w:rsidRPr="00E00A01">
        <w:rPr>
          <w:rFonts w:ascii="Palatino Linotype" w:hAnsi="Palatino Linotype"/>
          <w:sz w:val="24"/>
          <w:szCs w:val="24"/>
        </w:rPr>
        <w:t xml:space="preserve">Three of the most prominent claims of evidence-based practice within the Medical Model, which materialists also claim to be etiologies for most of the </w:t>
      </w:r>
      <w:r w:rsidRPr="00E00A01">
        <w:rPr>
          <w:rFonts w:ascii="Palatino Linotype" w:hAnsi="Palatino Linotype"/>
          <w:i/>
          <w:sz w:val="24"/>
          <w:szCs w:val="24"/>
        </w:rPr>
        <w:t xml:space="preserve">DSM-5 </w:t>
      </w:r>
      <w:r w:rsidRPr="00E00A01">
        <w:rPr>
          <w:rFonts w:ascii="Palatino Linotype" w:hAnsi="Palatino Linotype"/>
          <w:sz w:val="24"/>
          <w:szCs w:val="24"/>
        </w:rPr>
        <w:t>constructs of mental disorders, are the chemical imbalance, the genetic, and the brain dysfunction theories. While these are common myths promoted as scientifically established facts that allegedly validate the mind as being material in nature, they each fully depend upon the subjective field of somatometry. Somatometry is the materialistic approach to the soul that utilizes statistics derived from bodily measurements and patterns of common human behavior recorded and stored in large databases worldwide. The field is an attempt to explain humanity’s spiritual nature from a strictly material perspective and to construct phenomenological categories that</w:t>
      </w:r>
      <w:r w:rsidR="00343ACC">
        <w:rPr>
          <w:rFonts w:ascii="Palatino Linotype" w:hAnsi="Palatino Linotype"/>
          <w:sz w:val="24"/>
          <w:szCs w:val="24"/>
        </w:rPr>
        <w:t xml:space="preserve"> </w:t>
      </w:r>
      <w:r w:rsidRPr="00E00A01">
        <w:rPr>
          <w:rFonts w:ascii="Palatino Linotype" w:hAnsi="Palatino Linotype"/>
          <w:sz w:val="24"/>
          <w:szCs w:val="24"/>
        </w:rPr>
        <w:t>simply redescribe the description given. But somatometry, like all other material approaches to the soul, fails to actually measure the soul/psyche.</w:t>
      </w:r>
    </w:p>
    <w:p w14:paraId="429F7411" w14:textId="77777777" w:rsidR="00343ACC" w:rsidRDefault="00343ACC" w:rsidP="00E00A01">
      <w:pPr>
        <w:ind w:firstLine="720"/>
        <w:rPr>
          <w:rFonts w:ascii="Palatino Linotype" w:hAnsi="Palatino Linotype"/>
          <w:sz w:val="24"/>
          <w:szCs w:val="24"/>
        </w:rPr>
      </w:pPr>
    </w:p>
    <w:p w14:paraId="331BBE07" w14:textId="0CAC21F5"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 xml:space="preserve">Though on the surface statistics might seem to be a legitimate evidence-based approach to the soul, one must carefully consider how the immaterial soul is physically observed or objectively correlated to the physical body within the scientific process. For </w:t>
      </w:r>
      <w:r w:rsidRPr="00E00A01">
        <w:rPr>
          <w:rFonts w:ascii="Palatino Linotype" w:hAnsi="Palatino Linotype"/>
          <w:sz w:val="24"/>
          <w:szCs w:val="24"/>
        </w:rPr>
        <w:lastRenderedPageBreak/>
        <w:t>example, can scientists ever show empirically that the human genome causes someone to have false fixed beliefs? Rather than simply make a claim that a gene or group of genes causes delusional thinking, theorists must scientifically explain such conjecture in a measurable and repeatable way. But the actual molecular process that supposedly produces delusions has never been explained let alone discovered in the human body, since the metaphysical soul cannot be scientifically accessed or observed. To be fair, most scientists admit that hard evidence is lacking to make such claims. Yet, the same scientists insist that the over two-hundred-year-old hypothesis will someday be proven true. Somatometry is a faith, to such a degree that influential professors of psychiatry Roland Littlewood and Maurice Lipsedge maintain that somatometry has replaced theology in much of society:</w:t>
      </w:r>
    </w:p>
    <w:p w14:paraId="4A55D920" w14:textId="77777777" w:rsidR="00E00A01" w:rsidRPr="00E00A01" w:rsidRDefault="00E00A01" w:rsidP="00E00A01">
      <w:pPr>
        <w:ind w:firstLine="720"/>
        <w:rPr>
          <w:rFonts w:ascii="Palatino Linotype" w:hAnsi="Palatino Linotype"/>
          <w:sz w:val="24"/>
          <w:szCs w:val="24"/>
        </w:rPr>
      </w:pPr>
    </w:p>
    <w:p w14:paraId="5A777E82" w14:textId="4C9238D1" w:rsidR="00E00A01" w:rsidRPr="00E00A01" w:rsidRDefault="00E00A01" w:rsidP="00621D39">
      <w:pPr>
        <w:ind w:left="720"/>
        <w:rPr>
          <w:rFonts w:ascii="Palatino Linotype" w:hAnsi="Palatino Linotype"/>
          <w:sz w:val="24"/>
          <w:szCs w:val="24"/>
        </w:rPr>
      </w:pPr>
      <w:r w:rsidRPr="00E00A01">
        <w:rPr>
          <w:rFonts w:ascii="Palatino Linotype" w:hAnsi="Palatino Linotype"/>
          <w:sz w:val="24"/>
          <w:szCs w:val="24"/>
        </w:rPr>
        <w:t xml:space="preserve">The concept of the Great Chain of Being arranged all living organisms in a hierarchy in which the white was the perfect creation. This idea was consolidated in the later theory of evolution. </w:t>
      </w:r>
      <w:r w:rsidRPr="00E00A01">
        <w:rPr>
          <w:rFonts w:ascii="Palatino Linotype" w:hAnsi="Palatino Linotype"/>
          <w:i/>
          <w:sz w:val="24"/>
          <w:szCs w:val="24"/>
        </w:rPr>
        <w:t xml:space="preserve">Darwin and Malthus replaced God as the authority; in an age of enlightenment only science could rationalize inhumanity. Biblical exegesis was replaced by measurement. To treat humans as objects required objective theories: </w:t>
      </w:r>
      <w:r w:rsidRPr="00E00A01">
        <w:rPr>
          <w:rFonts w:ascii="Palatino Linotype" w:hAnsi="Palatino Linotype"/>
          <w:sz w:val="24"/>
          <w:szCs w:val="24"/>
        </w:rPr>
        <w:t xml:space="preserve">in 1788 appeared an approach which later became popular—the weighing of brains. Both Europeans and Americans sought in the nineteenth century development of somatometry a scapegoat for individual conscience. They saw the function of statistical somatometry as a means of gratifying the desire for certainty. </w:t>
      </w:r>
      <w:r w:rsidRPr="00E00A01">
        <w:rPr>
          <w:rFonts w:ascii="Palatino Linotype" w:hAnsi="Palatino Linotype"/>
          <w:i/>
          <w:sz w:val="24"/>
          <w:szCs w:val="24"/>
        </w:rPr>
        <w:t xml:space="preserve">They would allow the purely statistical experimental and “uninvolved” discipline of somatometry to justify an a priori judgement </w:t>
      </w:r>
      <w:r w:rsidRPr="00E00A01">
        <w:rPr>
          <w:rFonts w:ascii="Palatino Linotype" w:hAnsi="Palatino Linotype"/>
          <w:sz w:val="24"/>
          <w:szCs w:val="24"/>
        </w:rPr>
        <w:t>[emphasis added].</w:t>
      </w:r>
      <w:r w:rsidR="00621D39">
        <w:rPr>
          <w:rStyle w:val="FootnoteReference"/>
          <w:rFonts w:ascii="Palatino Linotype" w:hAnsi="Palatino Linotype"/>
          <w:sz w:val="24"/>
          <w:szCs w:val="24"/>
        </w:rPr>
        <w:footnoteReference w:id="204"/>
      </w:r>
    </w:p>
    <w:p w14:paraId="74B4C3D7" w14:textId="77777777" w:rsidR="00621D39" w:rsidRDefault="00621D39" w:rsidP="00E00A01">
      <w:pPr>
        <w:ind w:firstLine="720"/>
        <w:rPr>
          <w:rFonts w:ascii="Palatino Linotype" w:hAnsi="Palatino Linotype"/>
          <w:sz w:val="24"/>
          <w:szCs w:val="24"/>
        </w:rPr>
      </w:pPr>
    </w:p>
    <w:p w14:paraId="397D031F" w14:textId="77777777" w:rsidR="00ED3AB5" w:rsidRDefault="00E00A01" w:rsidP="00621D39">
      <w:pPr>
        <w:ind w:firstLine="720"/>
        <w:rPr>
          <w:rFonts w:ascii="Palatino Linotype" w:hAnsi="Palatino Linotype"/>
          <w:sz w:val="24"/>
          <w:szCs w:val="24"/>
        </w:rPr>
      </w:pPr>
      <w:r w:rsidRPr="00E00A01">
        <w:rPr>
          <w:rFonts w:ascii="Palatino Linotype" w:hAnsi="Palatino Linotype"/>
          <w:sz w:val="24"/>
          <w:szCs w:val="24"/>
        </w:rPr>
        <w:t xml:space="preserve">Nowhere is somatometry more prevalent and obvious today than in the APA’s </w:t>
      </w:r>
      <w:r w:rsidRPr="00E00A01">
        <w:rPr>
          <w:rFonts w:ascii="Palatino Linotype" w:hAnsi="Palatino Linotype"/>
          <w:i/>
          <w:sz w:val="24"/>
          <w:szCs w:val="24"/>
        </w:rPr>
        <w:t>Diagnostic and Statistical Manual of Mental Disorders (DSM)</w:t>
      </w:r>
      <w:r w:rsidRPr="00E00A01">
        <w:rPr>
          <w:rFonts w:ascii="Palatino Linotype" w:hAnsi="Palatino Linotype"/>
          <w:sz w:val="24"/>
          <w:szCs w:val="24"/>
        </w:rPr>
        <w:t>,</w:t>
      </w:r>
      <w:r w:rsidR="00621D39">
        <w:rPr>
          <w:rStyle w:val="FootnoteReference"/>
          <w:rFonts w:ascii="Palatino Linotype" w:hAnsi="Palatino Linotype"/>
          <w:sz w:val="24"/>
          <w:szCs w:val="24"/>
        </w:rPr>
        <w:footnoteReference w:id="205"/>
      </w:r>
      <w:r w:rsidRPr="00E00A01">
        <w:rPr>
          <w:rFonts w:ascii="Palatino Linotype" w:hAnsi="Palatino Linotype"/>
          <w:sz w:val="24"/>
          <w:szCs w:val="24"/>
        </w:rPr>
        <w:t xml:space="preserve"> the so-called “Holy Bible of the American Psychiatric Association.”</w:t>
      </w:r>
      <w:r w:rsidR="00621D39">
        <w:rPr>
          <w:rStyle w:val="FootnoteReference"/>
          <w:rFonts w:ascii="Palatino Linotype" w:hAnsi="Palatino Linotype"/>
          <w:sz w:val="24"/>
          <w:szCs w:val="24"/>
        </w:rPr>
        <w:footnoteReference w:id="206"/>
      </w:r>
      <w:r w:rsidRPr="00E00A01">
        <w:rPr>
          <w:rFonts w:ascii="Palatino Linotype" w:hAnsi="Palatino Linotype"/>
          <w:sz w:val="24"/>
          <w:szCs w:val="24"/>
        </w:rPr>
        <w:t xml:space="preserve"> The APA constantly revises and expands this book, which is based upon German eugenic psychiatrist Emil Kraepelin’s own speculative beliefs and theoretical constructs.</w:t>
      </w:r>
      <w:r w:rsidR="00621D39">
        <w:rPr>
          <w:rStyle w:val="FootnoteReference"/>
          <w:rFonts w:ascii="Palatino Linotype" w:hAnsi="Palatino Linotype"/>
          <w:sz w:val="24"/>
          <w:szCs w:val="24"/>
        </w:rPr>
        <w:footnoteReference w:id="207"/>
      </w:r>
      <w:r w:rsidRPr="00E00A01">
        <w:rPr>
          <w:rFonts w:ascii="Palatino Linotype" w:hAnsi="Palatino Linotype"/>
          <w:sz w:val="24"/>
          <w:szCs w:val="24"/>
        </w:rPr>
        <w:t xml:space="preserve"> One psychiatric textbook covering the history of the psychiatric genetic/eugenic theory discusses Kraepelin’s and his protégé Ernst Rüdin’s (the historic father of Nazi eugenics) statistical, genetic, and formal introduction and organization of constructs into an</w:t>
      </w:r>
      <w:r w:rsidR="00621D39">
        <w:rPr>
          <w:rFonts w:ascii="Palatino Linotype" w:hAnsi="Palatino Linotype"/>
          <w:sz w:val="24"/>
          <w:szCs w:val="24"/>
        </w:rPr>
        <w:t xml:space="preserve"> </w:t>
      </w:r>
      <w:r w:rsidRPr="00E00A01">
        <w:rPr>
          <w:rFonts w:ascii="Palatino Linotype" w:hAnsi="Palatino Linotype"/>
          <w:sz w:val="24"/>
          <w:szCs w:val="24"/>
        </w:rPr>
        <w:t>alleged psychiatric nosology.</w:t>
      </w:r>
      <w:r w:rsidR="00ED3AB5">
        <w:rPr>
          <w:rStyle w:val="FootnoteReference"/>
          <w:rFonts w:ascii="Palatino Linotype" w:hAnsi="Palatino Linotype"/>
          <w:sz w:val="24"/>
          <w:szCs w:val="24"/>
        </w:rPr>
        <w:footnoteReference w:id="208"/>
      </w:r>
      <w:r w:rsidRPr="00E00A01">
        <w:rPr>
          <w:rFonts w:ascii="Palatino Linotype" w:hAnsi="Palatino Linotype"/>
          <w:sz w:val="24"/>
          <w:szCs w:val="24"/>
        </w:rPr>
        <w:t xml:space="preserve"> The </w:t>
      </w:r>
      <w:r w:rsidRPr="00E00A01">
        <w:rPr>
          <w:rFonts w:ascii="Palatino Linotype" w:hAnsi="Palatino Linotype"/>
          <w:i/>
          <w:sz w:val="24"/>
          <w:szCs w:val="24"/>
        </w:rPr>
        <w:lastRenderedPageBreak/>
        <w:t xml:space="preserve">Journal of Psychiatry and Clinical Neuroscience </w:t>
      </w:r>
      <w:r w:rsidRPr="00E00A01">
        <w:rPr>
          <w:rFonts w:ascii="Palatino Linotype" w:hAnsi="Palatino Linotype"/>
          <w:sz w:val="24"/>
          <w:szCs w:val="24"/>
        </w:rPr>
        <w:t>states about Kraepelin that</w:t>
      </w:r>
      <w:r w:rsidR="00621D39">
        <w:rPr>
          <w:rFonts w:ascii="Palatino Linotype" w:hAnsi="Palatino Linotype"/>
          <w:sz w:val="24"/>
          <w:szCs w:val="24"/>
        </w:rPr>
        <w:t xml:space="preserve"> </w:t>
      </w:r>
    </w:p>
    <w:p w14:paraId="481D2D43" w14:textId="77777777" w:rsidR="00ED3AB5" w:rsidRDefault="00ED3AB5" w:rsidP="00621D39">
      <w:pPr>
        <w:ind w:firstLine="720"/>
        <w:rPr>
          <w:rFonts w:ascii="Palatino Linotype" w:hAnsi="Palatino Linotype"/>
          <w:sz w:val="24"/>
          <w:szCs w:val="24"/>
        </w:rPr>
      </w:pPr>
    </w:p>
    <w:p w14:paraId="183F6347" w14:textId="674ABE8D" w:rsidR="00E00A01" w:rsidRPr="00E00A01" w:rsidRDefault="00E00A01" w:rsidP="00ED3AB5">
      <w:pPr>
        <w:ind w:left="720"/>
        <w:rPr>
          <w:rFonts w:ascii="Palatino Linotype" w:hAnsi="Palatino Linotype"/>
          <w:sz w:val="24"/>
          <w:szCs w:val="24"/>
        </w:rPr>
      </w:pPr>
      <w:r w:rsidRPr="00E00A01">
        <w:rPr>
          <w:rFonts w:ascii="Palatino Linotype" w:hAnsi="Palatino Linotype"/>
          <w:sz w:val="24"/>
          <w:szCs w:val="24"/>
        </w:rPr>
        <w:t>Kraepelin’s system of mental diseases has contributed substantially to the foundation of modern psychiatric diagnosis in the DSM-IV and ICD-10.  The neo-</w:t>
      </w:r>
    </w:p>
    <w:p w14:paraId="52D05EAD" w14:textId="7BC822A4" w:rsidR="00E00A01" w:rsidRPr="00E00A01" w:rsidRDefault="00E00A01" w:rsidP="00621D39">
      <w:pPr>
        <w:ind w:left="720"/>
        <w:rPr>
          <w:rFonts w:ascii="Palatino Linotype" w:hAnsi="Palatino Linotype"/>
          <w:sz w:val="24"/>
          <w:szCs w:val="24"/>
        </w:rPr>
      </w:pPr>
      <w:r w:rsidRPr="00E00A01">
        <w:rPr>
          <w:rFonts w:ascii="Palatino Linotype" w:hAnsi="Palatino Linotype"/>
          <w:sz w:val="24"/>
          <w:szCs w:val="24"/>
        </w:rPr>
        <w:t>Kraepelinian movement, beginning in the late 1960s, developed more</w:t>
      </w:r>
      <w:r w:rsidR="00ED3AB5">
        <w:rPr>
          <w:rFonts w:ascii="Palatino Linotype" w:hAnsi="Palatino Linotype"/>
          <w:sz w:val="24"/>
          <w:szCs w:val="24"/>
        </w:rPr>
        <w:t xml:space="preserve"> </w:t>
      </w:r>
      <w:r w:rsidRPr="00E00A01">
        <w:rPr>
          <w:rFonts w:ascii="Palatino Linotype" w:hAnsi="Palatino Linotype"/>
          <w:sz w:val="24"/>
          <w:szCs w:val="24"/>
        </w:rPr>
        <w:t>differentiated views of Kraepelin’s scientific background and methodology. Notwithstanding all the criticism of Kraepelin’s dichotomy, it remains more than ever the basis of psychiatric diagnosis.</w:t>
      </w:r>
      <w:r w:rsidR="00ED3AB5">
        <w:rPr>
          <w:rStyle w:val="FootnoteReference"/>
          <w:rFonts w:ascii="Palatino Linotype" w:hAnsi="Palatino Linotype"/>
          <w:sz w:val="24"/>
          <w:szCs w:val="24"/>
        </w:rPr>
        <w:footnoteReference w:id="209"/>
      </w:r>
    </w:p>
    <w:p w14:paraId="2A97F599" w14:textId="77777777" w:rsidR="00621D39" w:rsidRDefault="00621D39" w:rsidP="00E00A01">
      <w:pPr>
        <w:ind w:firstLine="720"/>
        <w:rPr>
          <w:rFonts w:ascii="Palatino Linotype" w:hAnsi="Palatino Linotype"/>
          <w:sz w:val="24"/>
          <w:szCs w:val="24"/>
        </w:rPr>
      </w:pPr>
    </w:p>
    <w:p w14:paraId="1ECD026B" w14:textId="70D5D09E"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Professor of the history of science at Harvard University Anne Harrington also notes that it was Kraepelin who created the new field of “‘big data’ psychiatry.”</w:t>
      </w:r>
      <w:r w:rsidR="00ED3AB5">
        <w:rPr>
          <w:rStyle w:val="FootnoteReference"/>
          <w:rFonts w:ascii="Palatino Linotype" w:hAnsi="Palatino Linotype"/>
          <w:sz w:val="24"/>
          <w:szCs w:val="24"/>
        </w:rPr>
        <w:footnoteReference w:id="210"/>
      </w:r>
    </w:p>
    <w:p w14:paraId="2EA39947" w14:textId="77777777" w:rsidR="00621D39" w:rsidRDefault="00621D39" w:rsidP="00E00A01">
      <w:pPr>
        <w:ind w:firstLine="720"/>
        <w:rPr>
          <w:rFonts w:ascii="Palatino Linotype" w:hAnsi="Palatino Linotype"/>
          <w:sz w:val="24"/>
          <w:szCs w:val="24"/>
        </w:rPr>
      </w:pPr>
    </w:p>
    <w:p w14:paraId="39E2881B" w14:textId="22B5AC66"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Schizophrenia and bipolar “disorders,” two of the most important psychiatric constructs that Kraepelin created within his system of eugenic somatometry, remain vital to sustaining the Medical Model. Unbelievably, despite the horrific history of its application under the banner of science, this advanced system of eugenic somatometry continues to be perceived as altruistic and empirically sound.</w:t>
      </w:r>
    </w:p>
    <w:p w14:paraId="77D559DF" w14:textId="77777777" w:rsidR="00621D39" w:rsidRDefault="00621D39" w:rsidP="00E00A01">
      <w:pPr>
        <w:ind w:firstLine="720"/>
        <w:rPr>
          <w:rFonts w:ascii="Palatino Linotype" w:hAnsi="Palatino Linotype"/>
          <w:sz w:val="24"/>
          <w:szCs w:val="24"/>
        </w:rPr>
      </w:pPr>
    </w:p>
    <w:p w14:paraId="428C475B" w14:textId="553BF290"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Even so, modern proponents of the Medical Model claim that their worldview is a unique evidence-based approach to the soul, which they claim makes it superior to any other phenomenology. Yet, presuppositional faith concerning the human soul ultimately determines what limited evidence is selected, how it is pursued, and how available data is interpreted. Rather than being a unique field of science, the Medical Model is merely faith in scientism and the hope that one day empirical evidence will be discovered that will lead to future deliverance.</w:t>
      </w:r>
    </w:p>
    <w:p w14:paraId="5ED8120E" w14:textId="77777777" w:rsidR="00621D39" w:rsidRDefault="00621D39" w:rsidP="00621D39">
      <w:pPr>
        <w:rPr>
          <w:rFonts w:ascii="Palatino Linotype" w:hAnsi="Palatino Linotype"/>
          <w:sz w:val="24"/>
          <w:szCs w:val="24"/>
        </w:rPr>
      </w:pPr>
    </w:p>
    <w:p w14:paraId="1A9A35D8" w14:textId="4EE5BEDD" w:rsidR="00E00A01" w:rsidRPr="00E00A01" w:rsidRDefault="00E00A01" w:rsidP="00621D39">
      <w:pPr>
        <w:jc w:val="center"/>
        <w:rPr>
          <w:rFonts w:ascii="Palatino Linotype" w:hAnsi="Palatino Linotype"/>
          <w:b/>
          <w:bCs/>
          <w:sz w:val="24"/>
          <w:szCs w:val="24"/>
        </w:rPr>
      </w:pPr>
      <w:r w:rsidRPr="00E00A01">
        <w:rPr>
          <w:rFonts w:ascii="Palatino Linotype" w:hAnsi="Palatino Linotype"/>
          <w:b/>
          <w:bCs/>
          <w:sz w:val="24"/>
          <w:szCs w:val="24"/>
        </w:rPr>
        <w:t>The Medical Model Remains to be Validated</w:t>
      </w:r>
    </w:p>
    <w:p w14:paraId="399A5BCA" w14:textId="77777777" w:rsidR="00ED3AB5" w:rsidRDefault="00ED3AB5" w:rsidP="00E00A01">
      <w:pPr>
        <w:ind w:firstLine="720"/>
        <w:rPr>
          <w:rFonts w:ascii="Palatino Linotype" w:hAnsi="Palatino Linotype"/>
          <w:sz w:val="24"/>
          <w:szCs w:val="24"/>
        </w:rPr>
      </w:pPr>
    </w:p>
    <w:p w14:paraId="29105365" w14:textId="33615F86" w:rsidR="00E00A01" w:rsidRPr="00E00A01" w:rsidRDefault="00E00A01" w:rsidP="00E00A01">
      <w:pPr>
        <w:ind w:firstLine="720"/>
        <w:rPr>
          <w:rFonts w:ascii="Palatino Linotype" w:hAnsi="Palatino Linotype"/>
          <w:sz w:val="24"/>
          <w:szCs w:val="24"/>
        </w:rPr>
      </w:pPr>
      <w:r w:rsidRPr="00E00A01">
        <w:rPr>
          <w:rFonts w:ascii="Palatino Linotype" w:hAnsi="Palatino Linotype"/>
          <w:sz w:val="24"/>
          <w:szCs w:val="24"/>
        </w:rPr>
        <w:t xml:space="preserve">The false belief that the Medical Model is a unique evidence-based approach rests heavily upon a faulty belief that the </w:t>
      </w:r>
      <w:r w:rsidRPr="00E00A01">
        <w:rPr>
          <w:rFonts w:ascii="Palatino Linotype" w:hAnsi="Palatino Linotype"/>
          <w:i/>
          <w:sz w:val="24"/>
          <w:szCs w:val="24"/>
        </w:rPr>
        <w:t xml:space="preserve">DSM </w:t>
      </w:r>
      <w:r w:rsidRPr="00E00A01">
        <w:rPr>
          <w:rFonts w:ascii="Palatino Linotype" w:hAnsi="Palatino Linotype"/>
          <w:sz w:val="24"/>
          <w:szCs w:val="24"/>
        </w:rPr>
        <w:t xml:space="preserve">itself and its many individual constructs have been validated scientifically. The </w:t>
      </w:r>
      <w:r w:rsidRPr="00E00A01">
        <w:rPr>
          <w:rFonts w:ascii="Palatino Linotype" w:hAnsi="Palatino Linotype"/>
          <w:i/>
          <w:sz w:val="24"/>
          <w:szCs w:val="24"/>
        </w:rPr>
        <w:t xml:space="preserve">DSM </w:t>
      </w:r>
      <w:r w:rsidRPr="00E00A01">
        <w:rPr>
          <w:rFonts w:ascii="Palatino Linotype" w:hAnsi="Palatino Linotype"/>
          <w:sz w:val="24"/>
          <w:szCs w:val="24"/>
        </w:rPr>
        <w:t xml:space="preserve">drives the theory of psychopathology, diagnoses, treatments, and even alleged scientific research within the Medical Model. But if the </w:t>
      </w:r>
      <w:r w:rsidRPr="00E00A01">
        <w:rPr>
          <w:rFonts w:ascii="Palatino Linotype" w:hAnsi="Palatino Linotype"/>
          <w:i/>
          <w:sz w:val="24"/>
          <w:szCs w:val="24"/>
        </w:rPr>
        <w:t xml:space="preserve">DSM </w:t>
      </w:r>
      <w:r w:rsidRPr="00E00A01">
        <w:rPr>
          <w:rFonts w:ascii="Palatino Linotype" w:hAnsi="Palatino Linotype"/>
          <w:sz w:val="24"/>
          <w:szCs w:val="24"/>
        </w:rPr>
        <w:t xml:space="preserve">is phenomenologically derived and sustained, then the Medical Model is not a unique scientific worldview or primarily empirically driven. The reality is that </w:t>
      </w:r>
      <w:r w:rsidRPr="00E00A01">
        <w:rPr>
          <w:rFonts w:ascii="Palatino Linotype" w:hAnsi="Palatino Linotype"/>
          <w:sz w:val="24"/>
          <w:szCs w:val="24"/>
        </w:rPr>
        <w:lastRenderedPageBreak/>
        <w:t>psychopathology and psychiatric disorders simply do not exist apart from phenomenology:</w:t>
      </w:r>
    </w:p>
    <w:p w14:paraId="725C1ECF" w14:textId="77777777" w:rsidR="00E00A01" w:rsidRPr="00E00A01" w:rsidRDefault="00E00A01" w:rsidP="00E00A01">
      <w:pPr>
        <w:ind w:firstLine="720"/>
        <w:rPr>
          <w:rFonts w:ascii="Palatino Linotype" w:hAnsi="Palatino Linotype"/>
          <w:sz w:val="24"/>
          <w:szCs w:val="24"/>
        </w:rPr>
      </w:pPr>
    </w:p>
    <w:p w14:paraId="4C383818" w14:textId="47084ADA" w:rsidR="00006E8F" w:rsidRPr="00006E8F" w:rsidRDefault="00E00A01" w:rsidP="00ED3AB5">
      <w:pPr>
        <w:ind w:left="720"/>
        <w:rPr>
          <w:rFonts w:ascii="Palatino Linotype" w:hAnsi="Palatino Linotype"/>
          <w:sz w:val="24"/>
          <w:szCs w:val="24"/>
        </w:rPr>
      </w:pPr>
      <w:r w:rsidRPr="00E00A01">
        <w:rPr>
          <w:rFonts w:ascii="Palatino Linotype" w:hAnsi="Palatino Linotype"/>
          <w:sz w:val="24"/>
          <w:szCs w:val="24"/>
        </w:rPr>
        <w:t>Psychopathology has traditionally been a core element of psychiatry. Its goal is to provide descriptions that convert the patient’s experiences (lived in a first-</w:t>
      </w:r>
      <w:r w:rsidR="00006E8F" w:rsidRPr="00006E8F">
        <w:rPr>
          <w:rFonts w:ascii="Palatino Linotype" w:hAnsi="Palatino Linotype"/>
          <w:sz w:val="24"/>
          <w:szCs w:val="24"/>
        </w:rPr>
        <w:t xml:space="preserve">person perspective) or certain aspects of their expression and behavior into specific categories of symptoms (as defined in third-person terms). In this way, </w:t>
      </w:r>
      <w:r w:rsidR="00006E8F" w:rsidRPr="00006E8F">
        <w:rPr>
          <w:rFonts w:ascii="Palatino Linotype" w:hAnsi="Palatino Linotype"/>
          <w:i/>
          <w:sz w:val="24"/>
          <w:szCs w:val="24"/>
        </w:rPr>
        <w:t xml:space="preserve">psychopathology provides a means for translating the patient’s experiences into shareable information utilized further in diagnosis, treatment, and research (Parnas and Zahavi, 2002). Psychopathology as a theoretical description involves phenomenology, that is, a reflection on and description of patients’ experiences and expressions </w:t>
      </w:r>
      <w:r w:rsidR="00006E8F" w:rsidRPr="00006E8F">
        <w:rPr>
          <w:rFonts w:ascii="Palatino Linotype" w:hAnsi="Palatino Linotype"/>
          <w:sz w:val="24"/>
          <w:szCs w:val="24"/>
        </w:rPr>
        <w:t>[emphasis added].</w:t>
      </w:r>
      <w:r w:rsidR="00ED3AB5">
        <w:rPr>
          <w:rStyle w:val="FootnoteReference"/>
          <w:rFonts w:ascii="Palatino Linotype" w:hAnsi="Palatino Linotype"/>
          <w:sz w:val="24"/>
          <w:szCs w:val="24"/>
        </w:rPr>
        <w:footnoteReference w:id="211"/>
      </w:r>
    </w:p>
    <w:p w14:paraId="2F0D8079" w14:textId="77777777" w:rsidR="00ED3AB5" w:rsidRDefault="00ED3AB5" w:rsidP="00006E8F">
      <w:pPr>
        <w:ind w:firstLine="720"/>
        <w:rPr>
          <w:rFonts w:ascii="Palatino Linotype" w:hAnsi="Palatino Linotype"/>
          <w:sz w:val="24"/>
          <w:szCs w:val="24"/>
        </w:rPr>
      </w:pPr>
    </w:p>
    <w:p w14:paraId="23CCDD71" w14:textId="4275E8AE" w:rsidR="00006E8F" w:rsidRPr="00006E8F" w:rsidRDefault="00006E8F" w:rsidP="00006E8F">
      <w:pPr>
        <w:ind w:firstLine="720"/>
        <w:rPr>
          <w:rFonts w:ascii="Palatino Linotype" w:hAnsi="Palatino Linotype"/>
          <w:sz w:val="24"/>
          <w:szCs w:val="24"/>
        </w:rPr>
      </w:pPr>
      <w:r w:rsidRPr="00006E8F">
        <w:rPr>
          <w:rFonts w:ascii="Palatino Linotype" w:hAnsi="Palatino Linotype"/>
          <w:sz w:val="24"/>
          <w:szCs w:val="24"/>
        </w:rPr>
        <w:t xml:space="preserve">Despite the subjective nature of the </w:t>
      </w:r>
      <w:r w:rsidRPr="00006E8F">
        <w:rPr>
          <w:rFonts w:ascii="Palatino Linotype" w:hAnsi="Palatino Linotype"/>
          <w:i/>
          <w:sz w:val="24"/>
          <w:szCs w:val="24"/>
        </w:rPr>
        <w:t xml:space="preserve">DSM </w:t>
      </w:r>
      <w:r w:rsidRPr="00006E8F">
        <w:rPr>
          <w:rFonts w:ascii="Palatino Linotype" w:hAnsi="Palatino Linotype"/>
          <w:sz w:val="24"/>
          <w:szCs w:val="24"/>
        </w:rPr>
        <w:t>and its application throughout its history, psychiatrists continue to insist that the Medical Model has somehow arrived at a place of being principally evidence based and its many proposed psychiatric disorders validated rather than being conceptual.</w:t>
      </w:r>
      <w:r w:rsidR="00ED3AB5">
        <w:rPr>
          <w:rStyle w:val="FootnoteReference"/>
          <w:rFonts w:ascii="Palatino Linotype" w:hAnsi="Palatino Linotype"/>
          <w:sz w:val="24"/>
          <w:szCs w:val="24"/>
        </w:rPr>
        <w:footnoteReference w:id="212"/>
      </w:r>
      <w:r w:rsidRPr="00006E8F">
        <w:rPr>
          <w:rFonts w:ascii="Palatino Linotype" w:hAnsi="Palatino Linotype"/>
          <w:sz w:val="24"/>
          <w:szCs w:val="24"/>
        </w:rPr>
        <w:t xml:space="preserve"> But as the former editor-in-chief of the </w:t>
      </w:r>
      <w:r w:rsidRPr="00006E8F">
        <w:rPr>
          <w:rFonts w:ascii="Palatino Linotype" w:hAnsi="Palatino Linotype"/>
          <w:i/>
          <w:sz w:val="24"/>
          <w:szCs w:val="24"/>
        </w:rPr>
        <w:t xml:space="preserve">New England Journal of Medicine </w:t>
      </w:r>
      <w:r w:rsidRPr="00006E8F">
        <w:rPr>
          <w:rFonts w:ascii="Palatino Linotype" w:hAnsi="Palatino Linotype"/>
          <w:sz w:val="24"/>
          <w:szCs w:val="24"/>
        </w:rPr>
        <w:t xml:space="preserve">and member of the faculty of Global Health and Social Medicine at Harvard Medical School, Marcia Angell, recognizes, the </w:t>
      </w:r>
      <w:r w:rsidRPr="00006E8F">
        <w:rPr>
          <w:rFonts w:ascii="Palatino Linotype" w:hAnsi="Palatino Linotype"/>
          <w:i/>
          <w:sz w:val="24"/>
          <w:szCs w:val="24"/>
        </w:rPr>
        <w:t xml:space="preserve">DSM </w:t>
      </w:r>
      <w:r w:rsidRPr="00006E8F">
        <w:rPr>
          <w:rFonts w:ascii="Palatino Linotype" w:hAnsi="Palatino Linotype"/>
          <w:sz w:val="24"/>
          <w:szCs w:val="24"/>
        </w:rPr>
        <w:t>is not evidence based:</w:t>
      </w:r>
    </w:p>
    <w:p w14:paraId="05580109" w14:textId="77777777" w:rsidR="00006E8F" w:rsidRPr="00006E8F" w:rsidRDefault="00006E8F" w:rsidP="00006E8F">
      <w:pPr>
        <w:ind w:firstLine="720"/>
        <w:rPr>
          <w:rFonts w:ascii="Palatino Linotype" w:hAnsi="Palatino Linotype"/>
          <w:sz w:val="24"/>
          <w:szCs w:val="24"/>
        </w:rPr>
      </w:pPr>
    </w:p>
    <w:p w14:paraId="1C2C669A" w14:textId="4D364A5A" w:rsidR="00006E8F" w:rsidRDefault="00006E8F" w:rsidP="00ED3AB5">
      <w:pPr>
        <w:ind w:left="720"/>
        <w:rPr>
          <w:rFonts w:ascii="Palatino Linotype" w:hAnsi="Palatino Linotype"/>
          <w:sz w:val="24"/>
          <w:szCs w:val="24"/>
        </w:rPr>
      </w:pPr>
      <w:r w:rsidRPr="00006E8F">
        <w:rPr>
          <w:rFonts w:ascii="Palatino Linotype" w:hAnsi="Palatino Linotype"/>
          <w:sz w:val="24"/>
          <w:szCs w:val="24"/>
        </w:rPr>
        <w:t>Not only did the DSM become the bible of psychiatry, but like the real Bible, it depended a lot on something akin to revelation. There are no citations of scientific studies to support its decisions. That is an astonishing omission.</w:t>
      </w:r>
      <w:r w:rsidR="00ED3AB5">
        <w:rPr>
          <w:rStyle w:val="FootnoteReference"/>
          <w:rFonts w:ascii="Palatino Linotype" w:hAnsi="Palatino Linotype"/>
          <w:sz w:val="24"/>
          <w:szCs w:val="24"/>
        </w:rPr>
        <w:footnoteReference w:id="213"/>
      </w:r>
    </w:p>
    <w:p w14:paraId="21160EE7" w14:textId="77777777" w:rsidR="00ED3AB5" w:rsidRPr="00006E8F" w:rsidRDefault="00ED3AB5" w:rsidP="00ED3AB5">
      <w:pPr>
        <w:ind w:left="720"/>
        <w:rPr>
          <w:rFonts w:ascii="Palatino Linotype" w:hAnsi="Palatino Linotype"/>
          <w:sz w:val="24"/>
          <w:szCs w:val="24"/>
        </w:rPr>
      </w:pPr>
    </w:p>
    <w:p w14:paraId="6E68DB7D" w14:textId="77777777" w:rsidR="00006E8F" w:rsidRPr="00006E8F" w:rsidRDefault="00006E8F" w:rsidP="00813F96">
      <w:pPr>
        <w:rPr>
          <w:rFonts w:ascii="Palatino Linotype" w:hAnsi="Palatino Linotype"/>
          <w:sz w:val="24"/>
          <w:szCs w:val="24"/>
        </w:rPr>
      </w:pPr>
      <w:r w:rsidRPr="00006E8F">
        <w:rPr>
          <w:rFonts w:ascii="Palatino Linotype" w:hAnsi="Palatino Linotype"/>
          <w:sz w:val="24"/>
          <w:szCs w:val="24"/>
        </w:rPr>
        <w:t xml:space="preserve">The influential Nassir Ghaemi also points out that the </w:t>
      </w:r>
      <w:r w:rsidRPr="00006E8F">
        <w:rPr>
          <w:rFonts w:ascii="Palatino Linotype" w:hAnsi="Palatino Linotype"/>
          <w:i/>
          <w:sz w:val="24"/>
          <w:szCs w:val="24"/>
        </w:rPr>
        <w:t xml:space="preserve">DSM </w:t>
      </w:r>
      <w:r w:rsidRPr="00006E8F">
        <w:rPr>
          <w:rFonts w:ascii="Palatino Linotype" w:hAnsi="Palatino Linotype"/>
          <w:sz w:val="24"/>
          <w:szCs w:val="24"/>
        </w:rPr>
        <w:t>is not scientific:</w:t>
      </w:r>
    </w:p>
    <w:p w14:paraId="47B9376E" w14:textId="77777777" w:rsidR="00006E8F" w:rsidRPr="00006E8F" w:rsidRDefault="00006E8F" w:rsidP="00006E8F">
      <w:pPr>
        <w:ind w:firstLine="720"/>
        <w:rPr>
          <w:rFonts w:ascii="Palatino Linotype" w:hAnsi="Palatino Linotype"/>
          <w:sz w:val="24"/>
          <w:szCs w:val="24"/>
        </w:rPr>
      </w:pPr>
    </w:p>
    <w:p w14:paraId="27905BE4" w14:textId="2E80E4D6" w:rsidR="00006E8F" w:rsidRDefault="00006E8F" w:rsidP="00813F96">
      <w:pPr>
        <w:ind w:left="720"/>
        <w:rPr>
          <w:rFonts w:ascii="Palatino Linotype" w:hAnsi="Palatino Linotype"/>
          <w:sz w:val="24"/>
          <w:szCs w:val="24"/>
        </w:rPr>
      </w:pPr>
      <w:r w:rsidRPr="00006E8F">
        <w:rPr>
          <w:rFonts w:ascii="Palatino Linotype" w:hAnsi="Palatino Linotype"/>
          <w:sz w:val="24"/>
          <w:szCs w:val="24"/>
        </w:rPr>
        <w:t>Somewhere in the midst of following the well-established academic psychiatrist career path, I came to believe that the profession itself was off track in important ways. For instance, the Diagnostic and Statistical Manual of Mental Disorders (DSM), the Holy Bible of the American Psychiatric Association, is mostly false and unscientific.</w:t>
      </w:r>
      <w:r w:rsidR="00813F96">
        <w:rPr>
          <w:rStyle w:val="FootnoteReference"/>
          <w:rFonts w:ascii="Palatino Linotype" w:hAnsi="Palatino Linotype"/>
          <w:sz w:val="24"/>
          <w:szCs w:val="24"/>
        </w:rPr>
        <w:footnoteReference w:id="214"/>
      </w:r>
    </w:p>
    <w:p w14:paraId="58E29C4C" w14:textId="77777777" w:rsidR="00813F96" w:rsidRPr="00006E8F" w:rsidRDefault="00813F96" w:rsidP="00813F96">
      <w:pPr>
        <w:ind w:left="720"/>
        <w:rPr>
          <w:rFonts w:ascii="Palatino Linotype" w:hAnsi="Palatino Linotype"/>
          <w:sz w:val="24"/>
          <w:szCs w:val="24"/>
        </w:rPr>
      </w:pPr>
    </w:p>
    <w:p w14:paraId="68220701" w14:textId="77777777" w:rsidR="00006E8F" w:rsidRPr="00006E8F" w:rsidRDefault="00006E8F" w:rsidP="00006E8F">
      <w:pPr>
        <w:ind w:firstLine="720"/>
        <w:rPr>
          <w:rFonts w:ascii="Palatino Linotype" w:hAnsi="Palatino Linotype"/>
          <w:sz w:val="24"/>
          <w:szCs w:val="24"/>
        </w:rPr>
      </w:pPr>
      <w:r w:rsidRPr="00006E8F">
        <w:rPr>
          <w:rFonts w:ascii="Palatino Linotype" w:hAnsi="Palatino Linotype"/>
          <w:sz w:val="24"/>
          <w:szCs w:val="24"/>
        </w:rPr>
        <w:t xml:space="preserve">Significant too are the words of the former director of the National Institute of Mental Health (NIMH), Thomas Insel, as he anticipated the </w:t>
      </w:r>
      <w:r w:rsidRPr="00006E8F">
        <w:rPr>
          <w:rFonts w:ascii="Palatino Linotype" w:hAnsi="Palatino Linotype"/>
          <w:i/>
          <w:sz w:val="24"/>
          <w:szCs w:val="24"/>
        </w:rPr>
        <w:t xml:space="preserve">DSM-5’s </w:t>
      </w:r>
      <w:r w:rsidRPr="00006E8F">
        <w:rPr>
          <w:rFonts w:ascii="Palatino Linotype" w:hAnsi="Palatino Linotype"/>
          <w:sz w:val="24"/>
          <w:szCs w:val="24"/>
        </w:rPr>
        <w:t>release in 2013:</w:t>
      </w:r>
    </w:p>
    <w:p w14:paraId="7C738EA5" w14:textId="77777777" w:rsidR="00006E8F" w:rsidRPr="00006E8F" w:rsidRDefault="00006E8F" w:rsidP="00006E8F">
      <w:pPr>
        <w:ind w:firstLine="720"/>
        <w:rPr>
          <w:rFonts w:ascii="Palatino Linotype" w:hAnsi="Palatino Linotype"/>
          <w:sz w:val="24"/>
          <w:szCs w:val="24"/>
        </w:rPr>
      </w:pPr>
    </w:p>
    <w:p w14:paraId="0AC543AD" w14:textId="2B7F7C8F" w:rsidR="00006E8F" w:rsidRPr="00006E8F" w:rsidRDefault="00006E8F" w:rsidP="00813F96">
      <w:pPr>
        <w:ind w:left="720"/>
        <w:rPr>
          <w:rFonts w:ascii="Palatino Linotype" w:hAnsi="Palatino Linotype"/>
          <w:sz w:val="24"/>
          <w:szCs w:val="24"/>
        </w:rPr>
      </w:pPr>
      <w:r w:rsidRPr="00006E8F">
        <w:rPr>
          <w:rFonts w:ascii="Palatino Linotype" w:hAnsi="Palatino Linotype"/>
          <w:sz w:val="24"/>
          <w:szCs w:val="24"/>
        </w:rPr>
        <w:t>While DSM has been described as a ‘Bible’ for the field, it is, at best, a dictionary, creating a set of labels and defining each.  The weakness is its lack of validity. Unlike</w:t>
      </w:r>
      <w:r w:rsidR="00813F96">
        <w:rPr>
          <w:rFonts w:ascii="Palatino Linotype" w:hAnsi="Palatino Linotype"/>
          <w:sz w:val="24"/>
          <w:szCs w:val="24"/>
        </w:rPr>
        <w:t xml:space="preserve"> </w:t>
      </w:r>
      <w:r w:rsidRPr="00006E8F">
        <w:rPr>
          <w:rFonts w:ascii="Palatino Linotype" w:hAnsi="Palatino Linotype"/>
          <w:sz w:val="24"/>
          <w:szCs w:val="24"/>
        </w:rPr>
        <w:t>our definitions of ischemic heart disease, lymphoma, or AIDS, the DSM diagnoses are based on a consensus about clusters of clinical symptoms, not any objective laboratory measure.</w:t>
      </w:r>
      <w:r w:rsidR="00813F96">
        <w:rPr>
          <w:rStyle w:val="FootnoteReference"/>
          <w:rFonts w:ascii="Palatino Linotype" w:hAnsi="Palatino Linotype"/>
          <w:sz w:val="24"/>
          <w:szCs w:val="24"/>
        </w:rPr>
        <w:footnoteReference w:id="215"/>
      </w:r>
    </w:p>
    <w:p w14:paraId="74DDDC13" w14:textId="77777777" w:rsidR="00155598" w:rsidRDefault="00155598" w:rsidP="0058714B">
      <w:pPr>
        <w:rPr>
          <w:rFonts w:ascii="Palatino Linotype" w:hAnsi="Palatino Linotype"/>
          <w:sz w:val="24"/>
          <w:szCs w:val="24"/>
        </w:rPr>
      </w:pPr>
    </w:p>
    <w:p w14:paraId="737D600B" w14:textId="77777777" w:rsidR="00155598" w:rsidRPr="00155598" w:rsidRDefault="00155598" w:rsidP="00155598">
      <w:pPr>
        <w:ind w:firstLine="720"/>
        <w:rPr>
          <w:rFonts w:ascii="Palatino Linotype" w:hAnsi="Palatino Linotype"/>
          <w:sz w:val="24"/>
          <w:szCs w:val="24"/>
        </w:rPr>
      </w:pPr>
      <w:r w:rsidRPr="00155598">
        <w:rPr>
          <w:rFonts w:ascii="Palatino Linotype" w:hAnsi="Palatino Linotype"/>
          <w:sz w:val="24"/>
          <w:szCs w:val="24"/>
        </w:rPr>
        <w:t>The popular contemporary belief that the Medical Model is a validated evidence-based approach to the soul is an unfounded faith that continues to drive the phenomenology’s acceptance.</w:t>
      </w:r>
    </w:p>
    <w:p w14:paraId="420114CD" w14:textId="77777777" w:rsidR="0058714B" w:rsidRDefault="0058714B" w:rsidP="00155598">
      <w:pPr>
        <w:ind w:firstLine="720"/>
        <w:rPr>
          <w:rFonts w:ascii="Palatino Linotype" w:hAnsi="Palatino Linotype"/>
          <w:sz w:val="24"/>
          <w:szCs w:val="24"/>
        </w:rPr>
      </w:pPr>
    </w:p>
    <w:p w14:paraId="2BDA6A7A" w14:textId="55161B64" w:rsidR="00155598" w:rsidRPr="00155598" w:rsidRDefault="00155598" w:rsidP="00155598">
      <w:pPr>
        <w:ind w:firstLine="720"/>
        <w:rPr>
          <w:rFonts w:ascii="Palatino Linotype" w:hAnsi="Palatino Linotype"/>
          <w:sz w:val="24"/>
          <w:szCs w:val="24"/>
        </w:rPr>
      </w:pPr>
      <w:r w:rsidRPr="00155598">
        <w:rPr>
          <w:rFonts w:ascii="Palatino Linotype" w:hAnsi="Palatino Linotype"/>
          <w:sz w:val="24"/>
          <w:szCs w:val="24"/>
        </w:rPr>
        <w:t>Further undermining the notion that the Medical Model is empirically driven and valid is the fact that most of those who are teaching psychiatry within academia and developing psychiatric phenomenology do not “actually assess and treat patients.”</w:t>
      </w:r>
      <w:r w:rsidR="0058714B">
        <w:rPr>
          <w:rStyle w:val="FootnoteReference"/>
          <w:rFonts w:ascii="Palatino Linotype" w:hAnsi="Palatino Linotype"/>
          <w:sz w:val="24"/>
          <w:szCs w:val="24"/>
        </w:rPr>
        <w:footnoteReference w:id="216"/>
      </w:r>
      <w:r w:rsidRPr="00155598">
        <w:rPr>
          <w:rFonts w:ascii="Palatino Linotype" w:hAnsi="Palatino Linotype"/>
          <w:sz w:val="24"/>
          <w:szCs w:val="24"/>
        </w:rPr>
        <w:t xml:space="preserve"> Psychiatric constructs, assessments, diagnoses, and all aspects of research are not empirically based; they are theoretically derived.</w:t>
      </w:r>
      <w:r w:rsidR="0058714B">
        <w:rPr>
          <w:rStyle w:val="FootnoteReference"/>
          <w:rFonts w:ascii="Palatino Linotype" w:hAnsi="Palatino Linotype"/>
          <w:sz w:val="24"/>
          <w:szCs w:val="24"/>
        </w:rPr>
        <w:footnoteReference w:id="217"/>
      </w:r>
      <w:r w:rsidRPr="00155598">
        <w:rPr>
          <w:rFonts w:ascii="Palatino Linotype" w:hAnsi="Palatino Linotype"/>
          <w:sz w:val="24"/>
          <w:szCs w:val="24"/>
        </w:rPr>
        <w:t xml:space="preserve"> Professor of psychiatry Bessel van der Kolk discusses the subjectivity of the diagnostic process:</w:t>
      </w:r>
    </w:p>
    <w:p w14:paraId="7533941F" w14:textId="77777777" w:rsidR="00155598" w:rsidRPr="00155598" w:rsidRDefault="00155598" w:rsidP="00155598">
      <w:pPr>
        <w:ind w:firstLine="720"/>
        <w:rPr>
          <w:rFonts w:ascii="Palatino Linotype" w:hAnsi="Palatino Linotype"/>
          <w:sz w:val="24"/>
          <w:szCs w:val="24"/>
        </w:rPr>
      </w:pPr>
    </w:p>
    <w:p w14:paraId="56C6663E" w14:textId="239C97F4" w:rsidR="00155598" w:rsidRPr="00155598" w:rsidRDefault="00155598" w:rsidP="0058714B">
      <w:pPr>
        <w:ind w:left="720"/>
        <w:rPr>
          <w:rFonts w:ascii="Palatino Linotype" w:hAnsi="Palatino Linotype"/>
          <w:sz w:val="24"/>
          <w:szCs w:val="24"/>
        </w:rPr>
      </w:pPr>
      <w:r w:rsidRPr="00155598">
        <w:rPr>
          <w:rFonts w:ascii="Palatino Linotype" w:hAnsi="Palatino Linotype"/>
          <w:sz w:val="24"/>
          <w:szCs w:val="24"/>
        </w:rPr>
        <w:t xml:space="preserve">Psychiatry, as a subspecialty of medicine, aspires to define mental illness as precisely as, let’s say, cancer of the pancreas, or streptococcal infection of the lungs. However, given the complexity of mind, brain, and human attachment systems, we have not come even close to achieving that sort of precision. </w:t>
      </w:r>
      <w:r w:rsidRPr="00155598">
        <w:rPr>
          <w:rFonts w:ascii="Palatino Linotype" w:hAnsi="Palatino Linotype"/>
          <w:i/>
          <w:sz w:val="24"/>
          <w:szCs w:val="24"/>
        </w:rPr>
        <w:t xml:space="preserve">Understanding what is “wrong” with people currently is more a question of the mind-set of the practitioner (and what insurance companies will pay for) than of verifiable, objective facts </w:t>
      </w:r>
      <w:r w:rsidRPr="00155598">
        <w:rPr>
          <w:rFonts w:ascii="Palatino Linotype" w:hAnsi="Palatino Linotype"/>
          <w:sz w:val="24"/>
          <w:szCs w:val="24"/>
        </w:rPr>
        <w:t>[emphases added].</w:t>
      </w:r>
      <w:r w:rsidR="0058714B">
        <w:rPr>
          <w:rStyle w:val="FootnoteReference"/>
          <w:rFonts w:ascii="Palatino Linotype" w:hAnsi="Palatino Linotype"/>
          <w:sz w:val="24"/>
          <w:szCs w:val="24"/>
        </w:rPr>
        <w:footnoteReference w:id="218"/>
      </w:r>
    </w:p>
    <w:p w14:paraId="16D9075D" w14:textId="77777777" w:rsidR="0058714B" w:rsidRDefault="0058714B" w:rsidP="00155598">
      <w:pPr>
        <w:ind w:firstLine="720"/>
        <w:rPr>
          <w:rFonts w:ascii="Palatino Linotype" w:hAnsi="Palatino Linotype"/>
          <w:sz w:val="24"/>
          <w:szCs w:val="24"/>
        </w:rPr>
      </w:pPr>
    </w:p>
    <w:p w14:paraId="144D3177" w14:textId="54BDF7D2" w:rsidR="00155598" w:rsidRPr="00155598" w:rsidRDefault="00155598" w:rsidP="00155598">
      <w:pPr>
        <w:ind w:firstLine="720"/>
        <w:rPr>
          <w:rFonts w:ascii="Palatino Linotype" w:hAnsi="Palatino Linotype"/>
          <w:sz w:val="24"/>
          <w:szCs w:val="24"/>
        </w:rPr>
      </w:pPr>
      <w:r w:rsidRPr="00155598">
        <w:rPr>
          <w:rFonts w:ascii="Palatino Linotype" w:hAnsi="Palatino Linotype"/>
          <w:sz w:val="24"/>
          <w:szCs w:val="24"/>
        </w:rPr>
        <w:t xml:space="preserve">Though the </w:t>
      </w:r>
      <w:r w:rsidRPr="00155598">
        <w:rPr>
          <w:rFonts w:ascii="Palatino Linotype" w:hAnsi="Palatino Linotype"/>
          <w:i/>
          <w:sz w:val="24"/>
          <w:szCs w:val="24"/>
        </w:rPr>
        <w:t xml:space="preserve">DSM-5 </w:t>
      </w:r>
      <w:r w:rsidRPr="00155598">
        <w:rPr>
          <w:rFonts w:ascii="Palatino Linotype" w:hAnsi="Palatino Linotype"/>
          <w:sz w:val="24"/>
          <w:szCs w:val="24"/>
        </w:rPr>
        <w:t xml:space="preserve">is well-known to be principally phenomenological within academia, it is believed by society in general to be evidence based. Nevertheless, the reality lurking behind the curtain of public knowledge is far different than the myth that is heavily marketed. Clinical psychiatrist and professor Awais Aftab shares his own concerns about the unscientific nature of the foundational </w:t>
      </w:r>
      <w:r w:rsidRPr="00155598">
        <w:rPr>
          <w:rFonts w:ascii="Palatino Linotype" w:hAnsi="Palatino Linotype"/>
          <w:i/>
          <w:sz w:val="24"/>
          <w:szCs w:val="24"/>
        </w:rPr>
        <w:t>DSM</w:t>
      </w:r>
      <w:r w:rsidRPr="00155598">
        <w:rPr>
          <w:rFonts w:ascii="Palatino Linotype" w:hAnsi="Palatino Linotype"/>
          <w:sz w:val="24"/>
          <w:szCs w:val="24"/>
        </w:rPr>
        <w:t>:</w:t>
      </w:r>
    </w:p>
    <w:p w14:paraId="706F6D02" w14:textId="77777777" w:rsidR="00155598" w:rsidRPr="00155598" w:rsidRDefault="00155598" w:rsidP="00155598">
      <w:pPr>
        <w:ind w:firstLine="720"/>
        <w:rPr>
          <w:rFonts w:ascii="Palatino Linotype" w:hAnsi="Palatino Linotype"/>
          <w:sz w:val="24"/>
          <w:szCs w:val="24"/>
        </w:rPr>
      </w:pPr>
    </w:p>
    <w:p w14:paraId="7DB5CA34" w14:textId="4010FC57" w:rsidR="00155598" w:rsidRPr="00155598" w:rsidRDefault="00155598" w:rsidP="001D1591">
      <w:pPr>
        <w:ind w:left="720"/>
        <w:rPr>
          <w:rFonts w:ascii="Palatino Linotype" w:hAnsi="Palatino Linotype"/>
          <w:sz w:val="24"/>
          <w:szCs w:val="24"/>
        </w:rPr>
      </w:pPr>
      <w:r w:rsidRPr="00155598">
        <w:rPr>
          <w:rFonts w:ascii="Palatino Linotype" w:hAnsi="Palatino Linotype"/>
          <w:sz w:val="24"/>
          <w:szCs w:val="24"/>
        </w:rPr>
        <w:t xml:space="preserve">When it comes to myself: I feel as if I am standing on shaky ground most of the time. If there was one circumscribed area of psychiatry that was subject to controversy, I would overall feel quite secure, but when I survey the state of affairs, I see problems almost everywhere: </w:t>
      </w:r>
      <w:r w:rsidRPr="00155598">
        <w:rPr>
          <w:rFonts w:ascii="Palatino Linotype" w:hAnsi="Palatino Linotype"/>
          <w:i/>
          <w:sz w:val="24"/>
          <w:szCs w:val="24"/>
        </w:rPr>
        <w:t xml:space="preserve">the traditional classification system struggling in terms of reliability and validity, justifying itself mainly by utility; neurobiological research failing to deliver clinically meaningful advances; </w:t>
      </w:r>
      <w:r w:rsidRPr="00155598">
        <w:rPr>
          <w:rFonts w:ascii="Palatino Linotype" w:hAnsi="Palatino Linotype"/>
          <w:sz w:val="24"/>
          <w:szCs w:val="24"/>
        </w:rPr>
        <w:t xml:space="preserve">the ways in which the practices of pharmaceutical companies have negatively impacted the integrity of evidence-based psychopharmacology; how antidepressant prescribing far outpaces the marginal evidence of efficacy, and how the burden of antidepressant withdrawal has long been minimized; </w:t>
      </w:r>
      <w:r w:rsidRPr="00155598">
        <w:rPr>
          <w:rFonts w:ascii="Palatino Linotype" w:hAnsi="Palatino Linotype"/>
          <w:i/>
          <w:sz w:val="24"/>
          <w:szCs w:val="24"/>
        </w:rPr>
        <w:t xml:space="preserve">the ways in which diagnoses have become blunt instruments in service of reductionistic narratives; the discontent both physicians and patients experience with the current system. </w:t>
      </w:r>
      <w:r w:rsidRPr="00155598">
        <w:rPr>
          <w:rFonts w:ascii="Palatino Linotype" w:hAnsi="Palatino Linotype"/>
          <w:sz w:val="24"/>
          <w:szCs w:val="24"/>
        </w:rPr>
        <w:t>Beneath it all, I do think psychiatry as a profession has a solid core, worth defending, worth preserving, but on the surface, I find constant upheaval [emphasis added].</w:t>
      </w:r>
      <w:r w:rsidR="0058714B" w:rsidRPr="001D1591">
        <w:rPr>
          <w:rStyle w:val="FootnoteReference"/>
          <w:rFonts w:ascii="Palatino Linotype" w:hAnsi="Palatino Linotype"/>
          <w:sz w:val="24"/>
          <w:szCs w:val="24"/>
        </w:rPr>
        <w:footnoteReference w:id="219"/>
      </w:r>
    </w:p>
    <w:p w14:paraId="2F82FFD9" w14:textId="77777777" w:rsidR="001D1591" w:rsidRPr="001D1591" w:rsidRDefault="001D1591" w:rsidP="00155598">
      <w:pPr>
        <w:ind w:firstLine="720"/>
        <w:rPr>
          <w:rFonts w:ascii="Palatino Linotype" w:hAnsi="Palatino Linotype"/>
          <w:sz w:val="24"/>
          <w:szCs w:val="24"/>
        </w:rPr>
      </w:pPr>
    </w:p>
    <w:p w14:paraId="3C5A68D5" w14:textId="29B9237C" w:rsidR="001D1591" w:rsidRPr="001D1591" w:rsidRDefault="00155598" w:rsidP="001D1591">
      <w:pPr>
        <w:ind w:firstLine="720"/>
        <w:rPr>
          <w:rFonts w:ascii="Palatino Linotype" w:hAnsi="Palatino Linotype"/>
          <w:sz w:val="24"/>
          <w:szCs w:val="24"/>
        </w:rPr>
      </w:pPr>
      <w:r w:rsidRPr="00155598">
        <w:rPr>
          <w:rFonts w:ascii="Palatino Linotype" w:hAnsi="Palatino Linotype"/>
          <w:sz w:val="24"/>
          <w:szCs w:val="24"/>
        </w:rPr>
        <w:t xml:space="preserve">If the core of the Medical Model, where the proposed disorders exist, is </w:t>
      </w:r>
      <w:r w:rsidR="001D1591" w:rsidRPr="001D1591">
        <w:rPr>
          <w:rFonts w:ascii="Palatino Linotype" w:hAnsi="Palatino Linotype"/>
          <w:sz w:val="24"/>
          <w:szCs w:val="24"/>
        </w:rPr>
        <w:t>“m</w:t>
      </w:r>
      <w:r w:rsidRPr="00155598">
        <w:rPr>
          <w:rFonts w:ascii="Palatino Linotype" w:hAnsi="Palatino Linotype"/>
          <w:sz w:val="24"/>
          <w:szCs w:val="24"/>
        </w:rPr>
        <w:t>ostly false and unscientific” and thus the field “stands on shaky ground,” then the research designed around</w:t>
      </w:r>
      <w:r w:rsidR="001D1591" w:rsidRPr="001D1591">
        <w:rPr>
          <w:rFonts w:ascii="Palatino Linotype" w:hAnsi="Palatino Linotype"/>
          <w:sz w:val="24"/>
          <w:szCs w:val="24"/>
        </w:rPr>
        <w:t xml:space="preserve"> </w:t>
      </w:r>
      <w:r w:rsidR="001D1591" w:rsidRPr="001D1591">
        <w:rPr>
          <w:rFonts w:ascii="Palatino Linotype" w:hAnsi="Palatino Linotype"/>
          <w:sz w:val="24"/>
          <w:szCs w:val="24"/>
        </w:rPr>
        <w:t>these subjective constructs and fully controlled by and committed to these heterogenous concepts cannot be empirically sound. Even more of an issue for believers in the Medical Model is that no scientific evidence can be produced to prove that the metaphysical soul and its metaphysical phenomena are foundationally biological. Thus, it is a logical fallacy to claim that the Medical Model is evidence based when no objective evidence exists to validate the essential claim that the soul is material or even approachable in the physical realm.</w:t>
      </w:r>
    </w:p>
    <w:p w14:paraId="2DC82B26" w14:textId="77777777" w:rsidR="001D1591" w:rsidRDefault="001D1591" w:rsidP="001D1591">
      <w:pPr>
        <w:ind w:firstLine="720"/>
        <w:rPr>
          <w:rFonts w:ascii="Palatino Linotype" w:hAnsi="Palatino Linotype"/>
          <w:sz w:val="24"/>
          <w:szCs w:val="24"/>
        </w:rPr>
      </w:pPr>
    </w:p>
    <w:p w14:paraId="73747AEF" w14:textId="5D5C57DD" w:rsidR="001D1591" w:rsidRPr="001D1591" w:rsidRDefault="001D1591" w:rsidP="001D1591">
      <w:pPr>
        <w:ind w:firstLine="720"/>
        <w:rPr>
          <w:rFonts w:ascii="Palatino Linotype" w:hAnsi="Palatino Linotype"/>
          <w:sz w:val="24"/>
          <w:szCs w:val="24"/>
        </w:rPr>
      </w:pPr>
      <w:r w:rsidRPr="001D1591">
        <w:rPr>
          <w:rFonts w:ascii="Palatino Linotype" w:hAnsi="Palatino Linotype"/>
          <w:sz w:val="24"/>
          <w:szCs w:val="24"/>
        </w:rPr>
        <w:t>Presuppositional faith rather than empirical evidence drives and sustains the entire Medical Model. For example, one must assume that schizophrenia spectrum disorder is more than a phenomenological re-descriptive label/theory in order to pursue researching the construct of schizophrenia, and such a presuppositional faith requires all accumulated data to be interpreted within this narrow but unproven worldview. Delusions and hallucinations—the core features of alleged schizophrenia and psychosis—are metaphysical phenomena that other worldviews discuss in detail and explain as both spiritual and normal aspects of human nature.</w:t>
      </w:r>
      <w:r>
        <w:rPr>
          <w:rStyle w:val="FootnoteReference"/>
          <w:rFonts w:ascii="Palatino Linotype" w:hAnsi="Palatino Linotype"/>
          <w:sz w:val="24"/>
          <w:szCs w:val="24"/>
        </w:rPr>
        <w:footnoteReference w:id="220"/>
      </w:r>
      <w:r w:rsidRPr="001D1591">
        <w:rPr>
          <w:rFonts w:ascii="Palatino Linotype" w:hAnsi="Palatino Linotype"/>
          <w:sz w:val="24"/>
          <w:szCs w:val="24"/>
        </w:rPr>
        <w:t xml:space="preserve"> As neurologist Oliver </w:t>
      </w:r>
      <w:r w:rsidRPr="001D1591">
        <w:rPr>
          <w:rFonts w:ascii="Palatino Linotype" w:hAnsi="Palatino Linotype"/>
          <w:sz w:val="24"/>
          <w:szCs w:val="24"/>
        </w:rPr>
        <w:lastRenderedPageBreak/>
        <w:t>Sacks points out, it was in the early 1900s—in correspondence with Kraepelin’s creation of distinct psychiatric disease concepts—when delusions and hallucinations were transformed into being viewed as medical issues and abnormalities.</w:t>
      </w:r>
      <w:r>
        <w:rPr>
          <w:rStyle w:val="FootnoteReference"/>
          <w:rFonts w:ascii="Palatino Linotype" w:hAnsi="Palatino Linotype"/>
          <w:sz w:val="24"/>
          <w:szCs w:val="24"/>
        </w:rPr>
        <w:footnoteReference w:id="221"/>
      </w:r>
    </w:p>
    <w:p w14:paraId="42B0F454" w14:textId="77777777" w:rsidR="00377DE0" w:rsidRDefault="00377DE0" w:rsidP="001D1591">
      <w:pPr>
        <w:ind w:firstLine="720"/>
        <w:rPr>
          <w:rFonts w:ascii="Palatino Linotype" w:hAnsi="Palatino Linotype"/>
          <w:sz w:val="24"/>
          <w:szCs w:val="24"/>
        </w:rPr>
      </w:pPr>
    </w:p>
    <w:p w14:paraId="569D0E92" w14:textId="493CF5DD" w:rsidR="001D1591" w:rsidRPr="001D1591" w:rsidRDefault="001D1591" w:rsidP="001D1591">
      <w:pPr>
        <w:ind w:firstLine="720"/>
        <w:rPr>
          <w:rFonts w:ascii="Palatino Linotype" w:hAnsi="Palatino Linotype"/>
          <w:sz w:val="24"/>
          <w:szCs w:val="24"/>
        </w:rPr>
      </w:pPr>
      <w:r w:rsidRPr="001D1591">
        <w:rPr>
          <w:rFonts w:ascii="Palatino Linotype" w:hAnsi="Palatino Linotype"/>
          <w:sz w:val="24"/>
          <w:szCs w:val="24"/>
        </w:rPr>
        <w:t xml:space="preserve">There is no scientific integrity in research for the Medical Model nor can there be when the </w:t>
      </w:r>
      <w:r w:rsidRPr="001D1591">
        <w:rPr>
          <w:rFonts w:ascii="Palatino Linotype" w:hAnsi="Palatino Linotype"/>
          <w:i/>
          <w:sz w:val="24"/>
          <w:szCs w:val="24"/>
        </w:rPr>
        <w:t xml:space="preserve">DSM </w:t>
      </w:r>
      <w:r w:rsidRPr="001D1591">
        <w:rPr>
          <w:rFonts w:ascii="Palatino Linotype" w:hAnsi="Palatino Linotype"/>
          <w:sz w:val="24"/>
          <w:szCs w:val="24"/>
        </w:rPr>
        <w:t>and its many constructs have never objectively been shown to be organic or exist apart from being a phenomenological idea. Moreover, the etiological claims of genes, neurochemicals, and dysfunctional brains cannot be taken seriously until the phenomenological constructs they claim to cause are first validated. Professor of psychiatry Assen Jablensky reflects on the true nature of the Kraepelinian concept of schizophrenia:</w:t>
      </w:r>
    </w:p>
    <w:p w14:paraId="6244D885" w14:textId="77777777" w:rsidR="001D1591" w:rsidRPr="001D1591" w:rsidRDefault="001D1591" w:rsidP="001D1591">
      <w:pPr>
        <w:ind w:firstLine="720"/>
        <w:rPr>
          <w:rFonts w:ascii="Palatino Linotype" w:hAnsi="Palatino Linotype"/>
          <w:sz w:val="24"/>
          <w:szCs w:val="24"/>
        </w:rPr>
      </w:pPr>
    </w:p>
    <w:p w14:paraId="5596EAE6" w14:textId="02A3728A" w:rsidR="00377DE0" w:rsidRPr="00377DE0" w:rsidRDefault="001D1591" w:rsidP="00657272">
      <w:pPr>
        <w:ind w:left="720"/>
        <w:rPr>
          <w:rFonts w:ascii="Palatino Linotype" w:hAnsi="Palatino Linotype"/>
          <w:sz w:val="24"/>
          <w:szCs w:val="24"/>
        </w:rPr>
      </w:pPr>
      <w:r w:rsidRPr="001D1591">
        <w:rPr>
          <w:rFonts w:ascii="Palatino Linotype" w:hAnsi="Palatino Linotype"/>
          <w:sz w:val="24"/>
          <w:szCs w:val="24"/>
        </w:rPr>
        <w:t>The existence of a specific brain disease underlying schizophrenia remains a hypothesis. Against a background of an ever-increasing volume of research data, the inconclusiveness of the search for causes of the disorder fuels doubts about the validity of the schizophrenia construct as presently defined. Given the protean nature of the symptoms of schizophrenia and the poor coherence of the clinical and biological findings, such doubts are not without reason. However, simply dismantling the concept is unlikely to result in an alternative model that would account for the host of clinical phenomena and research data consistent with a disease hypothesis of schizophrenia. For the time being, the clinical concept of schizophrenia is</w:t>
      </w:r>
      <w:r w:rsidR="00657272">
        <w:rPr>
          <w:rFonts w:ascii="Palatino Linotype" w:hAnsi="Palatino Linotype"/>
          <w:sz w:val="24"/>
          <w:szCs w:val="24"/>
        </w:rPr>
        <w:t xml:space="preserve"> </w:t>
      </w:r>
      <w:r w:rsidR="00377DE0" w:rsidRPr="00377DE0">
        <w:rPr>
          <w:rFonts w:ascii="Palatino Linotype" w:hAnsi="Palatino Linotype"/>
          <w:sz w:val="24"/>
          <w:szCs w:val="24"/>
        </w:rPr>
        <w:t>supported by empirical evidence that its multiple facets form a broad syndrome with non-negligible internal cohesion and a characteristic evolution over time.</w:t>
      </w:r>
      <w:r w:rsidR="00377DE0">
        <w:rPr>
          <w:rStyle w:val="FootnoteReference"/>
          <w:rFonts w:ascii="Palatino Linotype" w:hAnsi="Palatino Linotype"/>
          <w:sz w:val="24"/>
          <w:szCs w:val="24"/>
        </w:rPr>
        <w:footnoteReference w:id="222"/>
      </w:r>
    </w:p>
    <w:p w14:paraId="36768DDB" w14:textId="77777777" w:rsidR="00657272" w:rsidRDefault="00657272" w:rsidP="00377DE0">
      <w:pPr>
        <w:ind w:firstLine="720"/>
        <w:rPr>
          <w:rFonts w:ascii="Palatino Linotype" w:hAnsi="Palatino Linotype"/>
          <w:sz w:val="24"/>
          <w:szCs w:val="24"/>
        </w:rPr>
      </w:pPr>
    </w:p>
    <w:p w14:paraId="19BE4D54" w14:textId="536DCDA1" w:rsidR="00377DE0" w:rsidRPr="00377DE0" w:rsidRDefault="00377DE0" w:rsidP="00377DE0">
      <w:pPr>
        <w:ind w:firstLine="720"/>
        <w:rPr>
          <w:rFonts w:ascii="Palatino Linotype" w:hAnsi="Palatino Linotype"/>
          <w:sz w:val="24"/>
          <w:szCs w:val="24"/>
        </w:rPr>
      </w:pPr>
      <w:r w:rsidRPr="00377DE0">
        <w:rPr>
          <w:rFonts w:ascii="Palatino Linotype" w:hAnsi="Palatino Linotype"/>
          <w:sz w:val="24"/>
          <w:szCs w:val="24"/>
        </w:rPr>
        <w:t>No one has ever seen the mystical and fluid concept of schizophrenia, let alone has ever analyzed it by utilizing the scientific method or objectively shown how genes produce false fixed beliefs and perceptions. In other words, the heterogenous construct of schizophrenia spectrum disorder has never been discovered in anyone’s body or physically observed; it has only been imposed upon human perspective as a phenomenological lens to interpret metaphysical phenomena (such as delusional thinking, disorganized speech, and hallucinations) which materialists do not know how to explain otherwise within their narrow faith.</w:t>
      </w:r>
    </w:p>
    <w:p w14:paraId="34A945D7" w14:textId="77777777" w:rsidR="00377DE0" w:rsidRPr="00377DE0" w:rsidRDefault="00377DE0" w:rsidP="00377DE0">
      <w:pPr>
        <w:ind w:firstLine="720"/>
        <w:rPr>
          <w:rFonts w:ascii="Palatino Linotype" w:hAnsi="Palatino Linotype"/>
          <w:sz w:val="24"/>
          <w:szCs w:val="24"/>
        </w:rPr>
      </w:pPr>
      <w:r w:rsidRPr="00377DE0">
        <w:rPr>
          <w:rFonts w:ascii="Palatino Linotype" w:hAnsi="Palatino Linotype"/>
          <w:sz w:val="24"/>
          <w:szCs w:val="24"/>
        </w:rPr>
        <w:lastRenderedPageBreak/>
        <w:t>Although the metaphysical phenomena and physical effects are real, the psychiatric constructs were theoretically created apart from validating physical evidence. Psychiatrists Awais Aftab and Manu Sharma offer this insight:</w:t>
      </w:r>
    </w:p>
    <w:p w14:paraId="5CE91708" w14:textId="77777777" w:rsidR="00377DE0" w:rsidRPr="00377DE0" w:rsidRDefault="00377DE0" w:rsidP="00377DE0">
      <w:pPr>
        <w:ind w:firstLine="720"/>
        <w:rPr>
          <w:rFonts w:ascii="Palatino Linotype" w:hAnsi="Palatino Linotype"/>
          <w:sz w:val="24"/>
          <w:szCs w:val="24"/>
        </w:rPr>
      </w:pPr>
    </w:p>
    <w:p w14:paraId="75256425" w14:textId="0A5FE086" w:rsidR="00377DE0" w:rsidRPr="00377DE0" w:rsidRDefault="00377DE0" w:rsidP="00377DE0">
      <w:pPr>
        <w:ind w:left="720"/>
        <w:rPr>
          <w:rFonts w:ascii="Palatino Linotype" w:hAnsi="Palatino Linotype"/>
          <w:sz w:val="24"/>
          <w:szCs w:val="24"/>
        </w:rPr>
      </w:pPr>
      <w:r w:rsidRPr="00377DE0">
        <w:rPr>
          <w:rFonts w:ascii="Palatino Linotype" w:hAnsi="Palatino Linotype"/>
          <w:sz w:val="24"/>
          <w:szCs w:val="24"/>
        </w:rPr>
        <w:t>The quest to identify diagnostic biomarkers in psychiatry faces several challenges. This is because biomarkers need to be identified with reference to a particular construct (whether it is a formal diagnostic construct based on DSM/ICD or an informal one, such as suicidality), which adds an additional layer of complexity subjecting candidate biomarkers to the uncertainty surrounding the validity of that particular construct. Much of the research in this area has been conducted using DSM or ICD diagnoses, although the trend has changed over the last decade after the introduction of the Research Domain Criteria and its emphasis on transdiagnostic constructs. Consensus-based diagnostic categories that utilize clinical descriptions of psychiatric syndromes do not appear to align with findings from clinical neuroscience and genetics research. Research findings do not validate the boundaries of DSM constructs in a way we would expect if these constructs represented distinct disease processes. All this suggests that the DSM categories are unlikely to capture fundamental mechanisms of dysfunction and etiology.</w:t>
      </w:r>
      <w:r>
        <w:rPr>
          <w:rStyle w:val="FootnoteReference"/>
          <w:rFonts w:ascii="Palatino Linotype" w:hAnsi="Palatino Linotype"/>
          <w:sz w:val="24"/>
          <w:szCs w:val="24"/>
        </w:rPr>
        <w:footnoteReference w:id="223"/>
      </w:r>
    </w:p>
    <w:p w14:paraId="6EEC3D59" w14:textId="77777777" w:rsidR="00377DE0" w:rsidRDefault="00377DE0" w:rsidP="00377DE0">
      <w:pPr>
        <w:ind w:firstLine="720"/>
        <w:rPr>
          <w:rFonts w:ascii="Palatino Linotype" w:hAnsi="Palatino Linotype"/>
          <w:sz w:val="24"/>
          <w:szCs w:val="24"/>
        </w:rPr>
      </w:pPr>
    </w:p>
    <w:p w14:paraId="367FE244" w14:textId="239D91B9" w:rsidR="00377DE0" w:rsidRPr="00377DE0" w:rsidRDefault="00377DE0" w:rsidP="00377DE0">
      <w:pPr>
        <w:ind w:firstLine="720"/>
        <w:rPr>
          <w:rFonts w:ascii="Palatino Linotype" w:hAnsi="Palatino Linotype"/>
          <w:sz w:val="24"/>
          <w:szCs w:val="24"/>
        </w:rPr>
      </w:pPr>
      <w:r w:rsidRPr="00377DE0">
        <w:rPr>
          <w:rFonts w:ascii="Palatino Linotype" w:hAnsi="Palatino Linotype"/>
          <w:sz w:val="24"/>
          <w:szCs w:val="24"/>
        </w:rPr>
        <w:t>As they rightly note, the circular reasoning necessary to sustain the Medical Model requires that one accept both a theoretical construct as being a valid physical disease but that has no biological basis, while at the same time accept the search for a biological basis for a construct that has no validity. These psychiatrists later state that even if biomarkers are someday found to correlate to the metaphysical phenomena described, they would not prove etiology, only that the metaphysical and physical natures coordinate together:</w:t>
      </w:r>
    </w:p>
    <w:p w14:paraId="04F73595" w14:textId="473D0AB3" w:rsidR="00E00A01" w:rsidRDefault="00E00A01" w:rsidP="00E00A01">
      <w:pPr>
        <w:ind w:firstLine="720"/>
        <w:rPr>
          <w:rFonts w:ascii="Palatino Linotype" w:hAnsi="Palatino Linotype"/>
          <w:sz w:val="24"/>
          <w:szCs w:val="24"/>
        </w:rPr>
      </w:pPr>
    </w:p>
    <w:p w14:paraId="3076F4A5" w14:textId="3FF95829" w:rsidR="00657272" w:rsidRPr="00657272" w:rsidRDefault="00377DE0" w:rsidP="00657272">
      <w:pPr>
        <w:ind w:left="720"/>
        <w:rPr>
          <w:rFonts w:ascii="Palatino Linotype" w:hAnsi="Palatino Linotype"/>
          <w:sz w:val="24"/>
          <w:szCs w:val="24"/>
        </w:rPr>
      </w:pPr>
      <w:r w:rsidRPr="00377DE0">
        <w:rPr>
          <w:rFonts w:ascii="Palatino Linotype" w:hAnsi="Palatino Linotype"/>
          <w:sz w:val="24"/>
          <w:szCs w:val="24"/>
        </w:rPr>
        <w:t>It is important to recognize that diagnostic biomarkers, even if they have high sensitivity and specificity in diagnosing a particular condition, may not be causally informative</w:t>
      </w:r>
      <w:r>
        <w:rPr>
          <w:rFonts w:ascii="Palatino Linotype" w:hAnsi="Palatino Linotype"/>
          <w:sz w:val="24"/>
          <w:szCs w:val="24"/>
        </w:rPr>
        <w:t xml:space="preserve">… </w:t>
      </w:r>
      <w:r w:rsidRPr="00377DE0">
        <w:rPr>
          <w:rFonts w:ascii="Palatino Linotype" w:hAnsi="Palatino Linotype"/>
          <w:sz w:val="24"/>
          <w:szCs w:val="24"/>
        </w:rPr>
        <w:t>There is a tendency to think that a diagnostic biomarker validates</w:t>
      </w:r>
      <w:r w:rsidR="00657272">
        <w:rPr>
          <w:rFonts w:ascii="Palatino Linotype" w:hAnsi="Palatino Linotype"/>
          <w:sz w:val="24"/>
          <w:szCs w:val="24"/>
        </w:rPr>
        <w:t xml:space="preserve"> </w:t>
      </w:r>
      <w:r w:rsidR="00657272" w:rsidRPr="00657272">
        <w:rPr>
          <w:rFonts w:ascii="Palatino Linotype" w:hAnsi="Palatino Linotype"/>
          <w:sz w:val="24"/>
          <w:szCs w:val="24"/>
        </w:rPr>
        <w:t xml:space="preserve">the disorder as a discrete disease entity or establishes the disorder as more “real”. If such thinking is left unchecked, a biomarker can lead to a false sense of validity of the construct under study and in the context of psychiatric nosology may further contribute to the already rampant reification of DSM diagnoses. A biomarker or a certain set of biomarkers may be associated with a </w:t>
      </w:r>
      <w:r w:rsidR="00657272" w:rsidRPr="00657272">
        <w:rPr>
          <w:rFonts w:ascii="Palatino Linotype" w:hAnsi="Palatino Linotype"/>
          <w:sz w:val="24"/>
          <w:szCs w:val="24"/>
        </w:rPr>
        <w:lastRenderedPageBreak/>
        <w:t>specific construct, but it is quite possible that a different set of biomarkers would emerge if we were to alter the definition of our construct.</w:t>
      </w:r>
      <w:r w:rsidR="00657272">
        <w:rPr>
          <w:rStyle w:val="FootnoteReference"/>
          <w:rFonts w:ascii="Palatino Linotype" w:hAnsi="Palatino Linotype"/>
          <w:sz w:val="24"/>
          <w:szCs w:val="24"/>
        </w:rPr>
        <w:footnoteReference w:id="224"/>
      </w:r>
    </w:p>
    <w:p w14:paraId="342E2907" w14:textId="77777777" w:rsidR="00657272" w:rsidRDefault="00657272" w:rsidP="00657272">
      <w:pPr>
        <w:ind w:firstLine="720"/>
        <w:rPr>
          <w:rFonts w:ascii="Palatino Linotype" w:hAnsi="Palatino Linotype"/>
          <w:sz w:val="24"/>
          <w:szCs w:val="24"/>
        </w:rPr>
      </w:pPr>
    </w:p>
    <w:p w14:paraId="5E942652" w14:textId="6C37CFDC" w:rsidR="00657272" w:rsidRDefault="00657272" w:rsidP="00657272">
      <w:pPr>
        <w:ind w:firstLine="720"/>
        <w:rPr>
          <w:rFonts w:ascii="Palatino Linotype" w:hAnsi="Palatino Linotype"/>
          <w:sz w:val="24"/>
          <w:szCs w:val="24"/>
        </w:rPr>
      </w:pPr>
      <w:r w:rsidRPr="00657272">
        <w:rPr>
          <w:rFonts w:ascii="Palatino Linotype" w:hAnsi="Palatino Linotype"/>
          <w:sz w:val="24"/>
          <w:szCs w:val="24"/>
        </w:rPr>
        <w:t>It is not merely one alleged disorder, however, that lacks biological pathology and organic diagnostic markers. The entire model was constructed around human struggles that are known to lack organic etiologies but are still claimed to be caused by invisible and undiscovered bodily abnormalities. Former APA president Jeffrey Lieberman explains:</w:t>
      </w:r>
    </w:p>
    <w:p w14:paraId="0A12B771" w14:textId="77777777" w:rsidR="00657272" w:rsidRPr="00657272" w:rsidRDefault="00657272" w:rsidP="00657272">
      <w:pPr>
        <w:ind w:firstLine="720"/>
        <w:rPr>
          <w:rFonts w:ascii="Palatino Linotype" w:hAnsi="Palatino Linotype"/>
          <w:sz w:val="24"/>
          <w:szCs w:val="24"/>
        </w:rPr>
      </w:pPr>
    </w:p>
    <w:p w14:paraId="748F0375" w14:textId="0E5E7585" w:rsidR="00657272" w:rsidRPr="00657272" w:rsidRDefault="00657272" w:rsidP="00657272">
      <w:pPr>
        <w:ind w:left="720"/>
        <w:rPr>
          <w:rFonts w:ascii="Palatino Linotype" w:hAnsi="Palatino Linotype"/>
          <w:sz w:val="24"/>
          <w:szCs w:val="24"/>
        </w:rPr>
      </w:pPr>
      <w:r w:rsidRPr="00657272">
        <w:rPr>
          <w:rFonts w:ascii="Palatino Linotype" w:hAnsi="Palatino Linotype"/>
          <w:sz w:val="24"/>
          <w:szCs w:val="24"/>
        </w:rPr>
        <w:t>Psychiatry originated as a medical specialty that took as its province a set of maladies that, by their very definition, had no identifiable physical cause. Appropriately, the term “psychiatry”—coined by the German physician Johann Christian Reil in 1808—literally means “medical treatment of the soul.”</w:t>
      </w:r>
      <w:r>
        <w:rPr>
          <w:rStyle w:val="FootnoteReference"/>
          <w:rFonts w:ascii="Palatino Linotype" w:hAnsi="Palatino Linotype"/>
          <w:sz w:val="24"/>
          <w:szCs w:val="24"/>
        </w:rPr>
        <w:footnoteReference w:id="225"/>
      </w:r>
    </w:p>
    <w:p w14:paraId="58543950" w14:textId="77777777" w:rsidR="00657272" w:rsidRDefault="00657272" w:rsidP="00657272">
      <w:pPr>
        <w:ind w:firstLine="720"/>
        <w:rPr>
          <w:rFonts w:ascii="Palatino Linotype" w:hAnsi="Palatino Linotype"/>
          <w:sz w:val="24"/>
          <w:szCs w:val="24"/>
        </w:rPr>
      </w:pPr>
    </w:p>
    <w:p w14:paraId="2D84A062" w14:textId="7C0B4B49" w:rsidR="00657272" w:rsidRPr="00657272" w:rsidRDefault="00657272" w:rsidP="00657272">
      <w:pPr>
        <w:ind w:firstLine="720"/>
        <w:rPr>
          <w:rFonts w:ascii="Palatino Linotype" w:hAnsi="Palatino Linotype"/>
          <w:sz w:val="24"/>
          <w:szCs w:val="24"/>
        </w:rPr>
      </w:pPr>
      <w:r w:rsidRPr="00657272">
        <w:rPr>
          <w:rFonts w:ascii="Palatino Linotype" w:hAnsi="Palatino Linotype"/>
          <w:sz w:val="24"/>
          <w:szCs w:val="24"/>
        </w:rPr>
        <w:t>Lieberman’s comments also highlight how psychiatry seeks to treat the metaphysical soul and its metaphysical phenomena rather than to treat the physical body.</w:t>
      </w:r>
    </w:p>
    <w:p w14:paraId="54099343" w14:textId="0D468D59" w:rsidR="00657272" w:rsidRPr="00657272" w:rsidRDefault="00657272" w:rsidP="00657272">
      <w:pPr>
        <w:ind w:firstLine="720"/>
        <w:rPr>
          <w:rFonts w:ascii="Palatino Linotype" w:hAnsi="Palatino Linotype"/>
          <w:sz w:val="24"/>
          <w:szCs w:val="24"/>
        </w:rPr>
      </w:pPr>
      <w:r w:rsidRPr="00657272">
        <w:rPr>
          <w:rFonts w:ascii="Palatino Linotype" w:hAnsi="Palatino Linotype"/>
          <w:sz w:val="24"/>
          <w:szCs w:val="24"/>
        </w:rPr>
        <w:t>One must likewise consider that research into psychopharmacology and not just into the specific constructs is also founded upon the presupposition that psychiatric syndromes are valid and reliable.</w:t>
      </w:r>
      <w:r>
        <w:rPr>
          <w:rStyle w:val="FootnoteReference"/>
          <w:rFonts w:ascii="Palatino Linotype" w:hAnsi="Palatino Linotype"/>
          <w:sz w:val="24"/>
          <w:szCs w:val="24"/>
        </w:rPr>
        <w:footnoteReference w:id="226"/>
      </w:r>
      <w:r w:rsidRPr="00657272">
        <w:rPr>
          <w:rFonts w:ascii="Palatino Linotype" w:hAnsi="Palatino Linotype"/>
          <w:sz w:val="24"/>
          <w:szCs w:val="24"/>
        </w:rPr>
        <w:t xml:space="preserve"> If one presupposes that psychosis or bipolar are real things rather than simply phenomenological descriptions of very real and destructive human phenomena, then he/she would naturally begin to believe that toxic drugs bearing a corresponding phenomenological label are also empirically sound—that they target physical diseases. Such a bias would drive all research and all subsequent theories. As Awais Aftab acknowledges, this is precisely what occurs within academic psychiatry:</w:t>
      </w:r>
    </w:p>
    <w:p w14:paraId="32686C01" w14:textId="77777777" w:rsidR="00657272" w:rsidRDefault="00657272" w:rsidP="00657272">
      <w:pPr>
        <w:ind w:firstLine="720"/>
        <w:rPr>
          <w:rFonts w:ascii="Palatino Linotype" w:hAnsi="Palatino Linotype"/>
          <w:sz w:val="24"/>
          <w:szCs w:val="24"/>
        </w:rPr>
      </w:pPr>
    </w:p>
    <w:p w14:paraId="0E634C02" w14:textId="7A239E55" w:rsidR="00657272" w:rsidRPr="00657272" w:rsidRDefault="00657272" w:rsidP="00657272">
      <w:pPr>
        <w:ind w:left="720"/>
        <w:rPr>
          <w:rFonts w:ascii="Palatino Linotype" w:hAnsi="Palatino Linotype"/>
          <w:sz w:val="24"/>
          <w:szCs w:val="24"/>
        </w:rPr>
      </w:pPr>
      <w:r w:rsidRPr="00657272">
        <w:rPr>
          <w:rFonts w:ascii="Palatino Linotype" w:hAnsi="Palatino Linotype"/>
          <w:sz w:val="24"/>
          <w:szCs w:val="24"/>
        </w:rPr>
        <w:t>I feel psychiatrists are in a very tough spot. The way they are educated and trained, they are unaware of the systematic ways in which research studies and guidelines are heavily biased and misrepresented. . . . To make matters worse, there is very little unbiased and generalizable research. This means psychiatrists have to rely on their clinical experience when working with individual patients, which is subject to biases and distortions of its own. Despite mountains of research data, it feels like we are in an impoverished state of knowledge.</w:t>
      </w:r>
      <w:r>
        <w:rPr>
          <w:rStyle w:val="FootnoteReference"/>
          <w:rFonts w:ascii="Palatino Linotype" w:hAnsi="Palatino Linotype"/>
          <w:sz w:val="24"/>
          <w:szCs w:val="24"/>
        </w:rPr>
        <w:footnoteReference w:id="227"/>
      </w:r>
    </w:p>
    <w:p w14:paraId="1B9AB32B" w14:textId="77777777" w:rsidR="00657272" w:rsidRDefault="00657272" w:rsidP="00657272">
      <w:pPr>
        <w:ind w:firstLine="720"/>
        <w:rPr>
          <w:rFonts w:ascii="Palatino Linotype" w:hAnsi="Palatino Linotype"/>
          <w:sz w:val="24"/>
          <w:szCs w:val="24"/>
        </w:rPr>
      </w:pPr>
    </w:p>
    <w:p w14:paraId="126793F7" w14:textId="6B04360E" w:rsidR="00657272" w:rsidRPr="00657272" w:rsidRDefault="00657272" w:rsidP="00657272">
      <w:pPr>
        <w:ind w:firstLine="720"/>
        <w:rPr>
          <w:rFonts w:ascii="Palatino Linotype" w:hAnsi="Palatino Linotype"/>
          <w:sz w:val="24"/>
          <w:szCs w:val="24"/>
        </w:rPr>
      </w:pPr>
      <w:r w:rsidRPr="00657272">
        <w:rPr>
          <w:rFonts w:ascii="Palatino Linotype" w:hAnsi="Palatino Linotype"/>
          <w:sz w:val="24"/>
          <w:szCs w:val="24"/>
        </w:rPr>
        <w:t>Moreover, clinical psychiatrists are educated to not question the “science,” the “experts,” or the clinical guidelines they are forced to follow. In many cases, those practicing psychiatric theory are themselves unaware of what actually exists behind the curtain of knowledge.</w:t>
      </w:r>
    </w:p>
    <w:p w14:paraId="0F62D8EC" w14:textId="77777777" w:rsidR="00657272" w:rsidRDefault="00657272" w:rsidP="00E00A01">
      <w:pPr>
        <w:ind w:firstLine="720"/>
        <w:rPr>
          <w:rFonts w:ascii="Palatino Linotype" w:hAnsi="Palatino Linotype"/>
          <w:sz w:val="24"/>
          <w:szCs w:val="24"/>
        </w:rPr>
      </w:pPr>
    </w:p>
    <w:p w14:paraId="0085A0F7" w14:textId="519176F6" w:rsidR="00657272" w:rsidRPr="00657272" w:rsidRDefault="00657272" w:rsidP="00B91EC6">
      <w:pPr>
        <w:ind w:firstLine="720"/>
        <w:rPr>
          <w:rFonts w:ascii="Palatino Linotype" w:hAnsi="Palatino Linotype"/>
          <w:sz w:val="24"/>
          <w:szCs w:val="24"/>
        </w:rPr>
      </w:pPr>
      <w:r w:rsidRPr="00657272">
        <w:rPr>
          <w:rFonts w:ascii="Palatino Linotype" w:hAnsi="Palatino Linotype"/>
          <w:sz w:val="24"/>
          <w:szCs w:val="24"/>
        </w:rPr>
        <w:t>The idea that the Medical Model is evidence based rather than just phenomenological</w:t>
      </w:r>
      <w:r w:rsidR="00B91EC6">
        <w:rPr>
          <w:rFonts w:ascii="Palatino Linotype" w:hAnsi="Palatino Linotype"/>
          <w:sz w:val="24"/>
          <w:szCs w:val="24"/>
        </w:rPr>
        <w:t xml:space="preserve"> </w:t>
      </w:r>
      <w:r w:rsidRPr="00657272">
        <w:rPr>
          <w:rFonts w:ascii="Palatino Linotype" w:hAnsi="Palatino Linotype"/>
          <w:sz w:val="24"/>
          <w:szCs w:val="24"/>
        </w:rPr>
        <w:t>somatometry is propagated and sustained through a misleading and empty promise. This perpetuated hope, which insists that someday soon a scientific discovery will confirm the theory’s legitimacy and that psychiatric constructs will soon be evidence based, exposes that the paradigm is currently not evidence based. This “scientific hope” was the basis of both Benjamin Rush’s original theory of hereditary madness and the birth of Nazi eugenic medicine, which Emil Kraepelin was most responsible for constructing. But as the once highly influential Bob Spitzer—a man who is credited with constructing more psychiatric disorders than any othe</w:t>
      </w:r>
      <w:r w:rsidR="00285F0E">
        <w:rPr>
          <w:rFonts w:ascii="Palatino Linotype" w:hAnsi="Palatino Linotype"/>
          <w:sz w:val="24"/>
          <w:szCs w:val="24"/>
        </w:rPr>
        <w:t>r</w:t>
      </w:r>
      <w:r w:rsidR="00285F0E">
        <w:rPr>
          <w:rStyle w:val="FootnoteReference"/>
          <w:rFonts w:ascii="Palatino Linotype" w:hAnsi="Palatino Linotype"/>
          <w:sz w:val="24"/>
          <w:szCs w:val="24"/>
        </w:rPr>
        <w:footnoteReference w:id="228"/>
      </w:r>
      <w:r w:rsidRPr="00657272">
        <w:rPr>
          <w:rFonts w:ascii="Palatino Linotype" w:hAnsi="Palatino Linotype"/>
          <w:sz w:val="24"/>
          <w:szCs w:val="24"/>
        </w:rPr>
        <w:t>—confesses, “big breakthroughs” in psychiatry will likely never occur, and the available evidence, ironically, confirms his conclusion:</w:t>
      </w:r>
    </w:p>
    <w:p w14:paraId="217CCBBF" w14:textId="77777777" w:rsidR="00657272" w:rsidRPr="00657272" w:rsidRDefault="00657272" w:rsidP="00657272">
      <w:pPr>
        <w:ind w:firstLine="720"/>
        <w:rPr>
          <w:rFonts w:ascii="Palatino Linotype" w:hAnsi="Palatino Linotype"/>
          <w:sz w:val="24"/>
          <w:szCs w:val="24"/>
        </w:rPr>
      </w:pPr>
    </w:p>
    <w:p w14:paraId="7D3168B7" w14:textId="7EEAEB0E" w:rsidR="00657272" w:rsidRPr="00657272" w:rsidRDefault="00657272" w:rsidP="00B91EC6">
      <w:pPr>
        <w:ind w:left="720"/>
        <w:rPr>
          <w:rFonts w:ascii="Palatino Linotype" w:hAnsi="Palatino Linotype"/>
          <w:sz w:val="24"/>
          <w:szCs w:val="24"/>
        </w:rPr>
      </w:pPr>
      <w:r w:rsidRPr="00657272">
        <w:rPr>
          <w:rFonts w:ascii="Palatino Linotype" w:hAnsi="Palatino Linotype"/>
          <w:sz w:val="24"/>
          <w:szCs w:val="24"/>
        </w:rPr>
        <w:t>First, while we all want to move from a descriptive to an etiologically based nosology, it is not clear how best to accomplish this. This issue was reviewed by Charney et al. at the very beginning of the DSM-5 process. In 2002, they concluded that “the field of psychiatry has thus far failed to identify a single neurobiological phenotypic marker or gene that is useful in making a diagnosis of a major psychiatric disorder.”</w:t>
      </w:r>
      <w:r w:rsidR="00B91EC6">
        <w:rPr>
          <w:rFonts w:ascii="Palatino Linotype" w:hAnsi="Palatino Linotype"/>
          <w:sz w:val="24"/>
          <w:szCs w:val="24"/>
        </w:rPr>
        <w:t xml:space="preserve">… </w:t>
      </w:r>
      <w:r w:rsidRPr="00657272">
        <w:rPr>
          <w:rFonts w:ascii="Palatino Linotype" w:hAnsi="Palatino Linotype"/>
          <w:sz w:val="24"/>
          <w:szCs w:val="24"/>
        </w:rPr>
        <w:t>I am skeptical of this approach because all the accumulating evidence suggests that we will not have one big discovery of the etiology of psychiatric disorders.</w:t>
      </w:r>
      <w:r w:rsidR="00285F0E">
        <w:rPr>
          <w:rStyle w:val="FootnoteReference"/>
          <w:rFonts w:ascii="Palatino Linotype" w:hAnsi="Palatino Linotype"/>
          <w:sz w:val="24"/>
          <w:szCs w:val="24"/>
        </w:rPr>
        <w:footnoteReference w:id="229"/>
      </w:r>
    </w:p>
    <w:p w14:paraId="1A26557F" w14:textId="77777777" w:rsidR="00B91EC6" w:rsidRDefault="00B91EC6" w:rsidP="00657272">
      <w:pPr>
        <w:ind w:firstLine="720"/>
        <w:rPr>
          <w:rFonts w:ascii="Palatino Linotype" w:hAnsi="Palatino Linotype"/>
          <w:sz w:val="24"/>
          <w:szCs w:val="24"/>
        </w:rPr>
      </w:pPr>
    </w:p>
    <w:p w14:paraId="6B8B24CC" w14:textId="7E3A3593" w:rsidR="00657272" w:rsidRPr="00657272" w:rsidRDefault="00657272" w:rsidP="00657272">
      <w:pPr>
        <w:ind w:firstLine="720"/>
        <w:rPr>
          <w:rFonts w:ascii="Palatino Linotype" w:hAnsi="Palatino Linotype"/>
          <w:sz w:val="24"/>
          <w:szCs w:val="24"/>
        </w:rPr>
      </w:pPr>
      <w:r w:rsidRPr="00657272">
        <w:rPr>
          <w:rFonts w:ascii="Palatino Linotype" w:hAnsi="Palatino Linotype"/>
          <w:sz w:val="24"/>
          <w:szCs w:val="24"/>
        </w:rPr>
        <w:t xml:space="preserve">What will continue to occur in maintaining the narrative that the Medical Model is evidence based is a piecing together of somatometric statistics and unreliable somatic correlations that are easily explained as effects rather than as causes. Science reporter of 20 years for the </w:t>
      </w:r>
      <w:r w:rsidRPr="00657272">
        <w:rPr>
          <w:rFonts w:ascii="Palatino Linotype" w:hAnsi="Palatino Linotype"/>
          <w:i/>
          <w:sz w:val="24"/>
          <w:szCs w:val="24"/>
        </w:rPr>
        <w:t>New York Times</w:t>
      </w:r>
      <w:r w:rsidRPr="00657272">
        <w:rPr>
          <w:rFonts w:ascii="Palatino Linotype" w:hAnsi="Palatino Linotype"/>
          <w:sz w:val="24"/>
          <w:szCs w:val="24"/>
        </w:rPr>
        <w:t>, Benedict Carey, admits his own disappointment that although knowledge of human biology and brain science are advancing, the discoveries have not helped in better defining or remedying the human soul. At one point he cites Thomas Insel in relating how the more the Medical Model has advanced and the data accumulated, the worse off people and society have become:</w:t>
      </w:r>
    </w:p>
    <w:p w14:paraId="540F8ABD" w14:textId="77777777" w:rsidR="00657272" w:rsidRPr="00657272" w:rsidRDefault="00657272" w:rsidP="00657272">
      <w:pPr>
        <w:ind w:firstLine="720"/>
        <w:rPr>
          <w:rFonts w:ascii="Palatino Linotype" w:hAnsi="Palatino Linotype"/>
          <w:sz w:val="24"/>
          <w:szCs w:val="24"/>
        </w:rPr>
      </w:pPr>
    </w:p>
    <w:p w14:paraId="734A4C66" w14:textId="10DA5FA2" w:rsidR="00657272" w:rsidRPr="00657272" w:rsidRDefault="00657272" w:rsidP="00B91EC6">
      <w:pPr>
        <w:ind w:left="720"/>
        <w:rPr>
          <w:rFonts w:ascii="Palatino Linotype" w:hAnsi="Palatino Linotype"/>
          <w:sz w:val="24"/>
          <w:szCs w:val="24"/>
        </w:rPr>
      </w:pPr>
      <w:r w:rsidRPr="00657272">
        <w:rPr>
          <w:rFonts w:ascii="Palatino Linotype" w:hAnsi="Palatino Linotype"/>
          <w:sz w:val="24"/>
          <w:szCs w:val="24"/>
        </w:rPr>
        <w:t>The scientific progress in our field was stunning, but while we studied the risk factors for suicide, the death rate had climbed 33 percent. While we identified the neuroanatomy of addiction, overdose deaths had increased by threefold. While we mapped the genes for schizophrenia, people with this disease were still chronically unemployed and dying 20 years early.</w:t>
      </w:r>
      <w:r w:rsidR="00285F0E">
        <w:rPr>
          <w:rStyle w:val="FootnoteReference"/>
          <w:rFonts w:ascii="Palatino Linotype" w:hAnsi="Palatino Linotype"/>
          <w:sz w:val="24"/>
          <w:szCs w:val="24"/>
        </w:rPr>
        <w:footnoteReference w:id="230"/>
      </w:r>
    </w:p>
    <w:p w14:paraId="6B7502A3" w14:textId="77777777" w:rsidR="00B91EC6" w:rsidRPr="00B91EC6" w:rsidRDefault="00B91EC6" w:rsidP="00657272">
      <w:pPr>
        <w:ind w:firstLine="720"/>
        <w:rPr>
          <w:rFonts w:ascii="Palatino Linotype" w:hAnsi="Palatino Linotype"/>
          <w:sz w:val="24"/>
          <w:szCs w:val="24"/>
        </w:rPr>
      </w:pPr>
    </w:p>
    <w:p w14:paraId="0461D9CC" w14:textId="4BAA9DD0" w:rsidR="00657272" w:rsidRPr="00657272" w:rsidRDefault="00657272" w:rsidP="00657272">
      <w:pPr>
        <w:ind w:firstLine="720"/>
        <w:rPr>
          <w:rFonts w:ascii="Palatino Linotype" w:hAnsi="Palatino Linotype"/>
          <w:sz w:val="24"/>
          <w:szCs w:val="24"/>
        </w:rPr>
      </w:pPr>
      <w:r w:rsidRPr="00657272">
        <w:rPr>
          <w:rFonts w:ascii="Palatino Linotype" w:hAnsi="Palatino Linotype"/>
          <w:sz w:val="24"/>
          <w:szCs w:val="24"/>
        </w:rPr>
        <w:t>In an ironic twist, the more the immaterial phenomena of the soul are framed and treated as if they were material in nature, the worse souls become.</w:t>
      </w:r>
    </w:p>
    <w:p w14:paraId="4108F5FC" w14:textId="77777777" w:rsidR="00B91EC6" w:rsidRPr="00B91EC6" w:rsidRDefault="00B91EC6" w:rsidP="00657272">
      <w:pPr>
        <w:ind w:firstLine="720"/>
        <w:rPr>
          <w:rFonts w:ascii="Palatino Linotype" w:hAnsi="Palatino Linotype"/>
          <w:sz w:val="24"/>
          <w:szCs w:val="24"/>
        </w:rPr>
      </w:pPr>
    </w:p>
    <w:p w14:paraId="6D0B3E21" w14:textId="79B2EDBF" w:rsidR="00657272" w:rsidRPr="00657272" w:rsidRDefault="00657272" w:rsidP="00B91EC6">
      <w:pPr>
        <w:ind w:firstLine="720"/>
        <w:rPr>
          <w:rFonts w:ascii="Palatino Linotype" w:hAnsi="Palatino Linotype"/>
          <w:sz w:val="24"/>
          <w:szCs w:val="24"/>
        </w:rPr>
      </w:pPr>
      <w:r w:rsidRPr="00657272">
        <w:rPr>
          <w:rFonts w:ascii="Palatino Linotype" w:hAnsi="Palatino Linotype"/>
          <w:sz w:val="24"/>
          <w:szCs w:val="24"/>
        </w:rPr>
        <w:t>Another way in which psychiatrists assert the Medical Model to be a unique scientific approach is through the constant application of the scientific method and the accumulation of data produced in its system of somatometry. While seemingly limitless data has been supplied over the last one hundred plus years, the soul and its metaphysical realities have remained</w:t>
      </w:r>
      <w:r w:rsidR="00B91EC6" w:rsidRPr="00B91EC6">
        <w:rPr>
          <w:rFonts w:ascii="Palatino Linotype" w:hAnsi="Palatino Linotype"/>
          <w:sz w:val="24"/>
          <w:szCs w:val="24"/>
        </w:rPr>
        <w:t xml:space="preserve"> </w:t>
      </w:r>
      <w:r w:rsidRPr="00657272">
        <w:rPr>
          <w:rFonts w:ascii="Palatino Linotype" w:hAnsi="Palatino Linotype"/>
          <w:sz w:val="24"/>
          <w:szCs w:val="24"/>
        </w:rPr>
        <w:t>unapproachable through scientific exploration, and researchers have failed to produce objective evidence that the human soul is biologically caused. Still, both the promise of future deliverance and the hope in science to perfectly explain and restore the soul continue to be accepted despite many secularists’ realization that the metaphysical realities of being human are beyond the scope of scientific exploration. Giovanni Fava, professor of psychiatry at the Buffalo School of Medicine and Biomedical Sciences, explains,</w:t>
      </w:r>
    </w:p>
    <w:p w14:paraId="635B5D37" w14:textId="77777777" w:rsidR="00657272" w:rsidRPr="00657272" w:rsidRDefault="00657272" w:rsidP="00657272">
      <w:pPr>
        <w:ind w:firstLine="720"/>
        <w:rPr>
          <w:rFonts w:ascii="Palatino Linotype" w:hAnsi="Palatino Linotype"/>
          <w:sz w:val="24"/>
          <w:szCs w:val="24"/>
        </w:rPr>
      </w:pPr>
    </w:p>
    <w:p w14:paraId="4313F01B" w14:textId="223C931C" w:rsidR="00657272" w:rsidRPr="00657272" w:rsidRDefault="00657272" w:rsidP="00B91EC6">
      <w:pPr>
        <w:ind w:left="720"/>
        <w:rPr>
          <w:rFonts w:ascii="Palatino Linotype" w:hAnsi="Palatino Linotype"/>
          <w:sz w:val="24"/>
          <w:szCs w:val="24"/>
        </w:rPr>
      </w:pPr>
      <w:r w:rsidRPr="00657272">
        <w:rPr>
          <w:rFonts w:ascii="Palatino Linotype" w:hAnsi="Palatino Linotype"/>
          <w:sz w:val="24"/>
          <w:szCs w:val="24"/>
        </w:rPr>
        <w:t>The progress of neurosciences in the past 2 decades has often led to the belief that clinical problems in psychiatry were likely to be solved by this approach. Such hopes are understandable in terms of massive propaganda operated by biotechnology and pharmaceutical corporations. An increasing number of psychiatrists are wondering, however, why the cures and clinical insights promised by neurosciences have not come to fruition.</w:t>
      </w:r>
      <w:r w:rsidR="00285F0E">
        <w:rPr>
          <w:rStyle w:val="FootnoteReference"/>
          <w:rFonts w:ascii="Palatino Linotype" w:hAnsi="Palatino Linotype"/>
          <w:sz w:val="24"/>
          <w:szCs w:val="24"/>
        </w:rPr>
        <w:footnoteReference w:id="231"/>
      </w:r>
    </w:p>
    <w:p w14:paraId="1ED01BEF" w14:textId="77777777" w:rsidR="00B91EC6" w:rsidRPr="00B91EC6" w:rsidRDefault="00B91EC6" w:rsidP="00657272">
      <w:pPr>
        <w:ind w:firstLine="720"/>
        <w:rPr>
          <w:rFonts w:ascii="Palatino Linotype" w:hAnsi="Palatino Linotype"/>
          <w:sz w:val="24"/>
          <w:szCs w:val="24"/>
        </w:rPr>
      </w:pPr>
    </w:p>
    <w:p w14:paraId="6EEF0F93" w14:textId="4BB2D3AF" w:rsidR="00657272" w:rsidRPr="00657272" w:rsidRDefault="00657272" w:rsidP="00657272">
      <w:pPr>
        <w:ind w:firstLine="720"/>
        <w:rPr>
          <w:rFonts w:ascii="Palatino Linotype" w:hAnsi="Palatino Linotype"/>
          <w:sz w:val="24"/>
          <w:szCs w:val="24"/>
        </w:rPr>
      </w:pPr>
      <w:r w:rsidRPr="00657272">
        <w:rPr>
          <w:rFonts w:ascii="Palatino Linotype" w:hAnsi="Palatino Linotype"/>
          <w:sz w:val="24"/>
          <w:szCs w:val="24"/>
        </w:rPr>
        <w:t xml:space="preserve">The truth is rather simple but difficult for some to accept: the human soul/psyche and its very real metaphysical phenomena cannot be reduced to medical/biological explanations or be studied utilizing scientific tools. As scientist Robert Marks concludes, attempting to materialize that which is immaterial is a position that diminishes scientific integrity in order to uphold science as the explanation and potential deliverer of all: “Scientism’s assumption that science can establish everything is self-refuting. Careful analysis shows that there is an infinite number of things that are true that we </w:t>
      </w:r>
      <w:r w:rsidRPr="00657272">
        <w:rPr>
          <w:rFonts w:ascii="Palatino Linotype" w:hAnsi="Palatino Linotype"/>
          <w:sz w:val="24"/>
          <w:szCs w:val="24"/>
        </w:rPr>
        <w:lastRenderedPageBreak/>
        <w:t>cannot prove scientifically and never will.”</w:t>
      </w:r>
      <w:r w:rsidR="00285F0E">
        <w:rPr>
          <w:rStyle w:val="FootnoteReference"/>
          <w:rFonts w:ascii="Palatino Linotype" w:hAnsi="Palatino Linotype"/>
          <w:sz w:val="24"/>
          <w:szCs w:val="24"/>
        </w:rPr>
        <w:footnoteReference w:id="232"/>
      </w:r>
      <w:r w:rsidRPr="00657272">
        <w:rPr>
          <w:rFonts w:ascii="Palatino Linotype" w:hAnsi="Palatino Linotype"/>
          <w:sz w:val="24"/>
          <w:szCs w:val="24"/>
        </w:rPr>
        <w:t xml:space="preserve"> The soul/psyche/mind (and its metaphysical phenomena) is one such aspect of being human that will always rest outside of the scientific process.</w:t>
      </w:r>
      <w:r w:rsidR="00285F0E">
        <w:rPr>
          <w:rStyle w:val="FootnoteReference"/>
          <w:rFonts w:ascii="Palatino Linotype" w:hAnsi="Palatino Linotype"/>
          <w:sz w:val="24"/>
          <w:szCs w:val="24"/>
        </w:rPr>
        <w:footnoteReference w:id="233"/>
      </w:r>
    </w:p>
    <w:p w14:paraId="2CE33D45" w14:textId="77777777" w:rsidR="00B91EC6" w:rsidRPr="00B91EC6" w:rsidRDefault="00B91EC6" w:rsidP="00657272">
      <w:pPr>
        <w:ind w:firstLine="720"/>
        <w:rPr>
          <w:rFonts w:ascii="Palatino Linotype" w:hAnsi="Palatino Linotype"/>
          <w:sz w:val="24"/>
          <w:szCs w:val="24"/>
        </w:rPr>
      </w:pPr>
    </w:p>
    <w:p w14:paraId="64357D73" w14:textId="30CC68F5" w:rsidR="00657272" w:rsidRPr="00657272" w:rsidRDefault="00657272" w:rsidP="00657272">
      <w:pPr>
        <w:ind w:firstLine="720"/>
        <w:rPr>
          <w:rFonts w:ascii="Palatino Linotype" w:hAnsi="Palatino Linotype"/>
          <w:sz w:val="24"/>
          <w:szCs w:val="24"/>
        </w:rPr>
      </w:pPr>
      <w:r w:rsidRPr="00657272">
        <w:rPr>
          <w:rFonts w:ascii="Palatino Linotype" w:hAnsi="Palatino Linotype"/>
          <w:sz w:val="24"/>
          <w:szCs w:val="24"/>
        </w:rPr>
        <w:t>Faith, rather than the scientific method or empirical evidence, principally guides all approaches to the soul. Simply stated, the Medical Model is not a unique empirically driven worldview that has left all other approaches to the soul/psyche behind.</w:t>
      </w:r>
    </w:p>
    <w:p w14:paraId="731A9923" w14:textId="77777777" w:rsidR="00657272" w:rsidRPr="00657272" w:rsidRDefault="00657272" w:rsidP="00657272">
      <w:pPr>
        <w:ind w:firstLine="720"/>
        <w:rPr>
          <w:rFonts w:ascii="Palatino Linotype" w:hAnsi="Palatino Linotype"/>
          <w:sz w:val="24"/>
          <w:szCs w:val="24"/>
        </w:rPr>
      </w:pPr>
    </w:p>
    <w:p w14:paraId="5E71D74A" w14:textId="77777777" w:rsidR="00657272" w:rsidRPr="00657272" w:rsidRDefault="00657272" w:rsidP="00657272">
      <w:pPr>
        <w:ind w:firstLine="720"/>
        <w:rPr>
          <w:rFonts w:ascii="Palatino Linotype" w:hAnsi="Palatino Linotype"/>
          <w:sz w:val="24"/>
          <w:szCs w:val="24"/>
        </w:rPr>
      </w:pPr>
    </w:p>
    <w:p w14:paraId="505D0A39" w14:textId="77777777" w:rsidR="00657272" w:rsidRPr="00657272" w:rsidRDefault="00657272" w:rsidP="00285F0E">
      <w:pPr>
        <w:jc w:val="center"/>
        <w:rPr>
          <w:rFonts w:ascii="Palatino Linotype" w:hAnsi="Palatino Linotype"/>
          <w:b/>
          <w:bCs/>
          <w:sz w:val="24"/>
          <w:szCs w:val="24"/>
        </w:rPr>
      </w:pPr>
      <w:r w:rsidRPr="00657272">
        <w:rPr>
          <w:rFonts w:ascii="Palatino Linotype" w:hAnsi="Palatino Linotype"/>
          <w:b/>
          <w:bCs/>
          <w:sz w:val="24"/>
          <w:szCs w:val="24"/>
        </w:rPr>
        <w:t>False Claim #2 – “The Medical Model is a Healing Approach”</w:t>
      </w:r>
    </w:p>
    <w:p w14:paraId="2738E2C1" w14:textId="4998BA0C" w:rsidR="00657272" w:rsidRDefault="00657272" w:rsidP="00285F0E">
      <w:pPr>
        <w:ind w:firstLine="720"/>
        <w:rPr>
          <w:rFonts w:ascii="Palatino Linotype" w:hAnsi="Palatino Linotype"/>
          <w:sz w:val="24"/>
          <w:szCs w:val="24"/>
        </w:rPr>
      </w:pPr>
      <w:r w:rsidRPr="00657272">
        <w:rPr>
          <w:rFonts w:ascii="Palatino Linotype" w:hAnsi="Palatino Linotype"/>
          <w:sz w:val="24"/>
          <w:szCs w:val="24"/>
        </w:rPr>
        <w:t>A vital term described in one of the model’s descriptive titles is “medical,” a nomenclature that suggests that the human soul’s deepest metaphysical struggles are both primarily medical conditions and that these conditions are best treated with some type of organic/biological application by someone licensed and trained within the current phenomenology. Since its conception, however, the medical approach to the human mind has not shown itself to be a worldview that heals people’s souls. Instead, the BPS has largely worsened the souls of</w:t>
      </w:r>
      <w:r w:rsidR="00285F0E">
        <w:rPr>
          <w:rFonts w:ascii="Palatino Linotype" w:hAnsi="Palatino Linotype"/>
          <w:sz w:val="24"/>
          <w:szCs w:val="24"/>
        </w:rPr>
        <w:t xml:space="preserve"> </w:t>
      </w:r>
      <w:r w:rsidRPr="00657272">
        <w:rPr>
          <w:rFonts w:ascii="Palatino Linotype" w:hAnsi="Palatino Linotype"/>
          <w:sz w:val="24"/>
          <w:szCs w:val="24"/>
        </w:rPr>
        <w:t>individuals and societies in which it is accepted and promoted, and the most touted biological remedies’ mechanisms of action are to destroy the body in some way and regularly produce distressful and impairing mental states.</w:t>
      </w:r>
    </w:p>
    <w:p w14:paraId="6A1C158B" w14:textId="77777777" w:rsidR="00285F0E" w:rsidRPr="00657272" w:rsidRDefault="00285F0E" w:rsidP="00285F0E">
      <w:pPr>
        <w:ind w:firstLine="720"/>
        <w:rPr>
          <w:rFonts w:ascii="Palatino Linotype" w:hAnsi="Palatino Linotype"/>
          <w:sz w:val="24"/>
          <w:szCs w:val="24"/>
        </w:rPr>
      </w:pPr>
    </w:p>
    <w:p w14:paraId="4C5FD610" w14:textId="77777777" w:rsidR="00657272" w:rsidRDefault="00657272" w:rsidP="00657272">
      <w:pPr>
        <w:ind w:firstLine="720"/>
        <w:rPr>
          <w:rFonts w:ascii="Palatino Linotype" w:hAnsi="Palatino Linotype"/>
          <w:sz w:val="24"/>
          <w:szCs w:val="24"/>
        </w:rPr>
      </w:pPr>
      <w:r w:rsidRPr="00657272">
        <w:rPr>
          <w:rFonts w:ascii="Palatino Linotype" w:hAnsi="Palatino Linotype"/>
          <w:sz w:val="24"/>
          <w:szCs w:val="24"/>
        </w:rPr>
        <w:t>In America, the Medical Model’s gradual establishment in the late 60s and early 70s promised healing and deliverance to individuals and societies around the world. But this system of faith, though it does regularly offer short-term opportunities for people to “feel better,” has overall worsened the world, and today large numbers of people are suffering more profoundly due to its increased control and deeper application. Understanding what exists behind the veil of public knowledge helps to explain why the Medical Model has failed to be medicinal to the human soul and exposes the true definition and practice of “medicine” and the “diseases” it is said to treat within the worldview.</w:t>
      </w:r>
    </w:p>
    <w:p w14:paraId="5A4EF364" w14:textId="77777777" w:rsidR="00285F0E" w:rsidRPr="00657272" w:rsidRDefault="00285F0E" w:rsidP="00657272">
      <w:pPr>
        <w:ind w:firstLine="720"/>
        <w:rPr>
          <w:rFonts w:ascii="Palatino Linotype" w:hAnsi="Palatino Linotype"/>
          <w:sz w:val="24"/>
          <w:szCs w:val="24"/>
        </w:rPr>
      </w:pPr>
    </w:p>
    <w:p w14:paraId="13A3F663" w14:textId="56343B27" w:rsidR="00657272" w:rsidRPr="00657272" w:rsidRDefault="00657272" w:rsidP="00657272">
      <w:pPr>
        <w:ind w:firstLine="720"/>
        <w:rPr>
          <w:rFonts w:ascii="Palatino Linotype" w:hAnsi="Palatino Linotype"/>
          <w:sz w:val="24"/>
          <w:szCs w:val="24"/>
        </w:rPr>
      </w:pPr>
      <w:r w:rsidRPr="00657272">
        <w:rPr>
          <w:rFonts w:ascii="Palatino Linotype" w:hAnsi="Palatino Linotype"/>
          <w:sz w:val="24"/>
          <w:szCs w:val="24"/>
        </w:rPr>
        <w:t xml:space="preserve">The Medical Model is not framed as “medical” because it is medicinal in an organic sense, but because materialism/biological-reductionism, bio-determinism, and individual degenerationism are presuppositional doctrines undergirding this </w:t>
      </w:r>
      <w:r w:rsidRPr="00657272">
        <w:rPr>
          <w:rFonts w:ascii="Palatino Linotype" w:hAnsi="Palatino Linotype"/>
          <w:sz w:val="24"/>
          <w:szCs w:val="24"/>
        </w:rPr>
        <w:lastRenderedPageBreak/>
        <w:t>phenomenology.</w:t>
      </w:r>
      <w:r w:rsidR="00285F0E">
        <w:rPr>
          <w:rStyle w:val="FootnoteReference"/>
          <w:rFonts w:ascii="Palatino Linotype" w:hAnsi="Palatino Linotype"/>
          <w:sz w:val="24"/>
          <w:szCs w:val="24"/>
        </w:rPr>
        <w:footnoteReference w:id="234"/>
      </w:r>
      <w:r w:rsidRPr="00657272">
        <w:rPr>
          <w:rFonts w:ascii="Palatino Linotype" w:hAnsi="Palatino Linotype"/>
          <w:sz w:val="24"/>
          <w:szCs w:val="24"/>
        </w:rPr>
        <w:t xml:space="preserve"> Stated otherwise, materialists understand that people need deliverance from this broken world and the hopeless mental state of humanity, but they are only willing to look for a savior within the physical realm and in accordance with humanistic faith. Former APA president, Paul Summergrad, most clearly defines the Medical Model:</w:t>
      </w:r>
    </w:p>
    <w:p w14:paraId="142FEDE3" w14:textId="77777777" w:rsidR="00657272" w:rsidRPr="00657272" w:rsidRDefault="00657272" w:rsidP="00657272">
      <w:pPr>
        <w:ind w:firstLine="720"/>
        <w:rPr>
          <w:rFonts w:ascii="Palatino Linotype" w:hAnsi="Palatino Linotype"/>
          <w:sz w:val="24"/>
          <w:szCs w:val="24"/>
        </w:rPr>
      </w:pPr>
    </w:p>
    <w:p w14:paraId="0DC5E09B" w14:textId="28976D66" w:rsidR="00657272" w:rsidRPr="00657272" w:rsidRDefault="00657272" w:rsidP="00285F0E">
      <w:pPr>
        <w:ind w:left="720"/>
        <w:rPr>
          <w:rFonts w:ascii="Palatino Linotype" w:hAnsi="Palatino Linotype"/>
          <w:sz w:val="24"/>
          <w:szCs w:val="24"/>
        </w:rPr>
      </w:pPr>
      <w:r w:rsidRPr="00657272">
        <w:rPr>
          <w:rFonts w:ascii="Palatino Linotype" w:hAnsi="Palatino Linotype"/>
          <w:sz w:val="24"/>
          <w:szCs w:val="24"/>
        </w:rPr>
        <w:t>When individuals use the term medical model in psychiatry, I think what they mean is that psychiatrists are ascribing a medical cause to an individual’s experience or feelings. So when we, as psychiatrists, ascribe a medical cause to the feelings and experiences, we are referring to some ineluctable and unchangeable element about the individual, with the implication that their very essence is dysfunctional or pathological.</w:t>
      </w:r>
      <w:r w:rsidR="00285F0E">
        <w:rPr>
          <w:rStyle w:val="FootnoteReference"/>
          <w:rFonts w:ascii="Palatino Linotype" w:hAnsi="Palatino Linotype"/>
          <w:sz w:val="24"/>
          <w:szCs w:val="24"/>
        </w:rPr>
        <w:footnoteReference w:id="235"/>
      </w:r>
    </w:p>
    <w:p w14:paraId="30243779" w14:textId="77777777" w:rsidR="00285F0E" w:rsidRDefault="00285F0E" w:rsidP="00657272">
      <w:pPr>
        <w:ind w:firstLine="720"/>
        <w:rPr>
          <w:rFonts w:ascii="Palatino Linotype" w:hAnsi="Palatino Linotype"/>
          <w:sz w:val="24"/>
          <w:szCs w:val="24"/>
        </w:rPr>
      </w:pPr>
    </w:p>
    <w:p w14:paraId="7B464431" w14:textId="171AD8CE" w:rsidR="00657272" w:rsidRPr="00657272" w:rsidRDefault="00657272" w:rsidP="00657272">
      <w:pPr>
        <w:ind w:firstLine="720"/>
        <w:rPr>
          <w:rFonts w:ascii="Palatino Linotype" w:hAnsi="Palatino Linotype"/>
          <w:sz w:val="24"/>
          <w:szCs w:val="24"/>
        </w:rPr>
      </w:pPr>
      <w:r w:rsidRPr="00657272">
        <w:rPr>
          <w:rFonts w:ascii="Palatino Linotype" w:hAnsi="Palatino Linotype"/>
          <w:sz w:val="24"/>
          <w:szCs w:val="24"/>
        </w:rPr>
        <w:t>Allen Frances offers a similar perspective in discussing the constructs claimed to be disorders within the Medical Model: “Mental constructs of reality are imperfect, but indispensable, ways to organize the otherwise bewildering phenomena of the world.”</w:t>
      </w:r>
      <w:r w:rsidR="00285F0E">
        <w:rPr>
          <w:rStyle w:val="FootnoteReference"/>
          <w:rFonts w:ascii="Palatino Linotype" w:hAnsi="Palatino Linotype"/>
          <w:sz w:val="24"/>
          <w:szCs w:val="24"/>
        </w:rPr>
        <w:footnoteReference w:id="236"/>
      </w:r>
      <w:r w:rsidRPr="00657272">
        <w:rPr>
          <w:rFonts w:ascii="Palatino Linotype" w:hAnsi="Palatino Linotype"/>
          <w:sz w:val="24"/>
          <w:szCs w:val="24"/>
        </w:rPr>
        <w:t xml:space="preserve"> The Medical Model is simply a theory of explanation for humanity’s spiritual nature that forces all distress and destructive aspects and experiences of being human into a medical framework and into constructs that provide utility.</w:t>
      </w:r>
    </w:p>
    <w:p w14:paraId="20A7828F" w14:textId="77777777" w:rsidR="00285F0E" w:rsidRDefault="00285F0E" w:rsidP="00657272">
      <w:pPr>
        <w:ind w:firstLine="720"/>
        <w:rPr>
          <w:rFonts w:ascii="Palatino Linotype" w:hAnsi="Palatino Linotype"/>
          <w:sz w:val="24"/>
          <w:szCs w:val="24"/>
        </w:rPr>
      </w:pPr>
    </w:p>
    <w:p w14:paraId="51B2FA3F" w14:textId="7870F658" w:rsidR="00657272" w:rsidRPr="00657272" w:rsidRDefault="00657272" w:rsidP="00657272">
      <w:pPr>
        <w:ind w:firstLine="720"/>
        <w:rPr>
          <w:rFonts w:ascii="Palatino Linotype" w:hAnsi="Palatino Linotype"/>
          <w:sz w:val="24"/>
          <w:szCs w:val="24"/>
        </w:rPr>
      </w:pPr>
      <w:r w:rsidRPr="00657272">
        <w:rPr>
          <w:rFonts w:ascii="Palatino Linotype" w:hAnsi="Palatino Linotype"/>
          <w:sz w:val="24"/>
          <w:szCs w:val="24"/>
        </w:rPr>
        <w:t>When the constructs are removed, the phenomena can still be approached, but faith in a medical solution quickly vanishes too. The various constructs do not merely provide utility, they also create faith in the Medical Model, as for many people, they conceptually transfer the spiritual nature into a medical framework.</w:t>
      </w:r>
    </w:p>
    <w:p w14:paraId="578B8C5E" w14:textId="77777777" w:rsidR="00285F0E" w:rsidRDefault="00285F0E" w:rsidP="00657272">
      <w:pPr>
        <w:ind w:firstLine="720"/>
        <w:rPr>
          <w:rFonts w:ascii="Palatino Linotype" w:hAnsi="Palatino Linotype"/>
          <w:sz w:val="24"/>
          <w:szCs w:val="24"/>
        </w:rPr>
      </w:pPr>
    </w:p>
    <w:p w14:paraId="1CBCE6FC" w14:textId="716F01C4" w:rsidR="00285F0E" w:rsidRPr="00285F0E" w:rsidRDefault="00657272" w:rsidP="00D60EE3">
      <w:pPr>
        <w:ind w:firstLine="720"/>
        <w:rPr>
          <w:rFonts w:ascii="Palatino Linotype" w:hAnsi="Palatino Linotype"/>
          <w:sz w:val="24"/>
          <w:szCs w:val="24"/>
        </w:rPr>
      </w:pPr>
      <w:r w:rsidRPr="00657272">
        <w:rPr>
          <w:rFonts w:ascii="Palatino Linotype" w:hAnsi="Palatino Linotype"/>
          <w:sz w:val="24"/>
          <w:szCs w:val="24"/>
        </w:rPr>
        <w:t>The psychiatric definition of “diseases/disorders,” which enables biological reductionists to theoretically require all undesirable phenomena to be fit into and explained through the</w:t>
      </w:r>
      <w:r w:rsidR="00D60EE3">
        <w:rPr>
          <w:rFonts w:ascii="Palatino Linotype" w:hAnsi="Palatino Linotype"/>
          <w:sz w:val="24"/>
          <w:szCs w:val="24"/>
        </w:rPr>
        <w:t xml:space="preserve"> </w:t>
      </w:r>
      <w:r w:rsidR="00285F0E" w:rsidRPr="00285F0E">
        <w:rPr>
          <w:rFonts w:ascii="Palatino Linotype" w:hAnsi="Palatino Linotype"/>
          <w:sz w:val="24"/>
          <w:szCs w:val="24"/>
        </w:rPr>
        <w:t xml:space="preserve">field of medicine, further highlights how the Medical Model is phenomenological. Respected Editor-in-Chief Emeritus of the </w:t>
      </w:r>
      <w:r w:rsidR="00285F0E" w:rsidRPr="00285F0E">
        <w:rPr>
          <w:rFonts w:ascii="Palatino Linotype" w:hAnsi="Palatino Linotype"/>
          <w:i/>
          <w:sz w:val="24"/>
          <w:szCs w:val="24"/>
        </w:rPr>
        <w:t>Psychiatric Times</w:t>
      </w:r>
      <w:r w:rsidR="00285F0E" w:rsidRPr="00285F0E">
        <w:rPr>
          <w:rFonts w:ascii="Palatino Linotype" w:hAnsi="Palatino Linotype"/>
          <w:sz w:val="24"/>
          <w:szCs w:val="24"/>
        </w:rPr>
        <w:t>, Ronald Pies, provides one illustration of how “disease” is defined phenomenologically in psychiatry to describe a non-organic phenomenon, state of distress, and/or dysfunction rather than an actual organic abnormality:</w:t>
      </w:r>
    </w:p>
    <w:p w14:paraId="15F60AB8" w14:textId="77777777" w:rsidR="00285F0E" w:rsidRPr="00285F0E" w:rsidRDefault="00285F0E" w:rsidP="00285F0E">
      <w:pPr>
        <w:ind w:firstLine="720"/>
        <w:rPr>
          <w:rFonts w:ascii="Palatino Linotype" w:hAnsi="Palatino Linotype"/>
          <w:sz w:val="24"/>
          <w:szCs w:val="24"/>
        </w:rPr>
      </w:pPr>
    </w:p>
    <w:p w14:paraId="50155C46" w14:textId="01299DA3" w:rsidR="00285F0E" w:rsidRPr="00285F0E" w:rsidRDefault="00285F0E" w:rsidP="00D60EE3">
      <w:pPr>
        <w:ind w:left="720"/>
        <w:rPr>
          <w:rFonts w:ascii="Palatino Linotype" w:hAnsi="Palatino Linotype"/>
          <w:sz w:val="24"/>
          <w:szCs w:val="24"/>
        </w:rPr>
      </w:pPr>
      <w:r w:rsidRPr="00285F0E">
        <w:rPr>
          <w:rFonts w:ascii="Palatino Linotype" w:hAnsi="Palatino Linotype"/>
          <w:sz w:val="24"/>
          <w:szCs w:val="24"/>
        </w:rPr>
        <w:t xml:space="preserve">Psychiatrists need not assert that the serious conditions we treat are brain </w:t>
      </w:r>
      <w:r w:rsidRPr="00285F0E">
        <w:rPr>
          <w:rFonts w:ascii="Palatino Linotype" w:hAnsi="Palatino Linotype"/>
          <w:sz w:val="24"/>
          <w:szCs w:val="24"/>
        </w:rPr>
        <w:lastRenderedPageBreak/>
        <w:t>diseases—only that conditions like schizophrenia and bipolar disorder represent bona fide disease, and that the term disease is most usefully understood as a collection of highly distressing and dysfunctional conditions of individuals, not just their brains</w:t>
      </w:r>
      <w:r w:rsidR="00D60EE3">
        <w:rPr>
          <w:rFonts w:ascii="Palatino Linotype" w:hAnsi="Palatino Linotype"/>
          <w:sz w:val="24"/>
          <w:szCs w:val="24"/>
        </w:rPr>
        <w:t xml:space="preserve">… </w:t>
      </w:r>
      <w:r w:rsidRPr="00285F0E">
        <w:rPr>
          <w:rFonts w:ascii="Palatino Linotype" w:hAnsi="Palatino Linotype"/>
          <w:sz w:val="24"/>
          <w:szCs w:val="24"/>
        </w:rPr>
        <w:t>In this article, I can update the list of pathology texts that clearly recognize schizophrenia as an instantiation of disease. To be clear: this is quite different than claiming that schizophrenia is a single, discrete disease like, say, pneumococcal pneumonia; it almost certainly is not.</w:t>
      </w:r>
      <w:r w:rsidR="00D60EE3">
        <w:rPr>
          <w:rStyle w:val="FootnoteReference"/>
          <w:rFonts w:ascii="Palatino Linotype" w:hAnsi="Palatino Linotype"/>
          <w:sz w:val="24"/>
          <w:szCs w:val="24"/>
        </w:rPr>
        <w:footnoteReference w:id="237"/>
      </w:r>
    </w:p>
    <w:p w14:paraId="63B33C01" w14:textId="77777777" w:rsidR="00D60EE3" w:rsidRDefault="00D60EE3" w:rsidP="00285F0E">
      <w:pPr>
        <w:ind w:firstLine="720"/>
        <w:rPr>
          <w:rFonts w:ascii="Palatino Linotype" w:hAnsi="Palatino Linotype"/>
          <w:sz w:val="24"/>
          <w:szCs w:val="24"/>
        </w:rPr>
      </w:pPr>
    </w:p>
    <w:p w14:paraId="5E81D420" w14:textId="1AFFD5A1" w:rsidR="00285F0E" w:rsidRPr="00285F0E" w:rsidRDefault="00285F0E" w:rsidP="00285F0E">
      <w:pPr>
        <w:ind w:firstLine="720"/>
        <w:rPr>
          <w:rFonts w:ascii="Palatino Linotype" w:hAnsi="Palatino Linotype"/>
          <w:sz w:val="24"/>
          <w:szCs w:val="24"/>
        </w:rPr>
      </w:pPr>
      <w:r w:rsidRPr="00285F0E">
        <w:rPr>
          <w:rFonts w:ascii="Palatino Linotype" w:hAnsi="Palatino Linotype"/>
          <w:sz w:val="24"/>
          <w:szCs w:val="24"/>
        </w:rPr>
        <w:t>Pies’ definition of disease highlights clearly that neither biological illness, actual physical abnormalities, or known somatic injuries are primary reasons behind psychiatry’s claiming the soul’s struggles as “diseases.” In an earlier publication, Pies further elucidates the term “disease” as utilized by his fellow psychiatrists:</w:t>
      </w:r>
    </w:p>
    <w:p w14:paraId="35B3C2A4" w14:textId="77777777" w:rsidR="00285F0E" w:rsidRPr="00285F0E" w:rsidRDefault="00285F0E" w:rsidP="00285F0E">
      <w:pPr>
        <w:ind w:firstLine="720"/>
        <w:rPr>
          <w:rFonts w:ascii="Palatino Linotype" w:hAnsi="Palatino Linotype"/>
          <w:sz w:val="24"/>
          <w:szCs w:val="24"/>
        </w:rPr>
      </w:pPr>
    </w:p>
    <w:p w14:paraId="4C3EE073" w14:textId="0807EEB2" w:rsidR="00285F0E" w:rsidRPr="00285F0E" w:rsidRDefault="00285F0E" w:rsidP="00D60EE3">
      <w:pPr>
        <w:ind w:left="720"/>
        <w:rPr>
          <w:rFonts w:ascii="Palatino Linotype" w:hAnsi="Palatino Linotype"/>
          <w:sz w:val="24"/>
          <w:szCs w:val="24"/>
        </w:rPr>
      </w:pPr>
      <w:r w:rsidRPr="00285F0E">
        <w:rPr>
          <w:rFonts w:ascii="Palatino Linotype" w:hAnsi="Palatino Linotype"/>
          <w:sz w:val="24"/>
          <w:szCs w:val="24"/>
        </w:rPr>
        <w:t xml:space="preserve">Indeed, disease is a </w:t>
      </w:r>
      <w:r w:rsidRPr="00285F0E">
        <w:rPr>
          <w:rFonts w:ascii="Palatino Linotype" w:hAnsi="Palatino Linotype"/>
          <w:i/>
          <w:sz w:val="24"/>
          <w:szCs w:val="24"/>
        </w:rPr>
        <w:t xml:space="preserve">prebiological </w:t>
      </w:r>
      <w:r w:rsidRPr="00285F0E">
        <w:rPr>
          <w:rFonts w:ascii="Palatino Linotype" w:hAnsi="Palatino Linotype"/>
          <w:sz w:val="24"/>
          <w:szCs w:val="24"/>
        </w:rPr>
        <w:t xml:space="preserve">construct. It begins when ordinary people perceive that one of their fellows is experiencing prolonged </w:t>
      </w:r>
      <w:r w:rsidRPr="00285F0E">
        <w:rPr>
          <w:rFonts w:ascii="Palatino Linotype" w:hAnsi="Palatino Linotype"/>
          <w:i/>
          <w:sz w:val="24"/>
          <w:szCs w:val="24"/>
        </w:rPr>
        <w:t>suffering and incapacity</w:t>
      </w:r>
      <w:r w:rsidRPr="00285F0E">
        <w:rPr>
          <w:rFonts w:ascii="Palatino Linotype" w:hAnsi="Palatino Linotype"/>
          <w:sz w:val="24"/>
          <w:szCs w:val="24"/>
        </w:rPr>
        <w:t xml:space="preserve">, without evident external cause (such as an obvious wound). The “biology” of disease often eludes us for decades, or even centuries, after the condition is widely recognized as a disease. As the physician Maimonides reminded us eight centuries ago, disease (etymologically, dis-ease) is properly predicated of </w:t>
      </w:r>
      <w:r w:rsidRPr="00285F0E">
        <w:rPr>
          <w:rFonts w:ascii="Palatino Linotype" w:hAnsi="Palatino Linotype"/>
          <w:b/>
          <w:i/>
          <w:sz w:val="24"/>
          <w:szCs w:val="24"/>
        </w:rPr>
        <w:t xml:space="preserve">persons. </w:t>
      </w:r>
      <w:r w:rsidRPr="00285F0E">
        <w:rPr>
          <w:rFonts w:ascii="Palatino Linotype" w:hAnsi="Palatino Linotype"/>
          <w:sz w:val="24"/>
          <w:szCs w:val="24"/>
        </w:rPr>
        <w:t xml:space="preserve">When we attribute disease to the “mind” or “body”—or to organs and tissues— we balkanize [divide] the </w:t>
      </w:r>
      <w:r w:rsidRPr="00285F0E">
        <w:rPr>
          <w:rFonts w:ascii="Palatino Linotype" w:hAnsi="Palatino Linotype"/>
          <w:i/>
          <w:sz w:val="24"/>
          <w:szCs w:val="24"/>
        </w:rPr>
        <w:t xml:space="preserve">human experience </w:t>
      </w:r>
      <w:r w:rsidRPr="00285F0E">
        <w:rPr>
          <w:rFonts w:ascii="Palatino Linotype" w:hAnsi="Palatino Linotype"/>
          <w:sz w:val="24"/>
          <w:szCs w:val="24"/>
        </w:rPr>
        <w:t xml:space="preserve">of disease and create great conceptual mischief. Thus, the commonly used terms </w:t>
      </w:r>
      <w:r w:rsidRPr="00285F0E">
        <w:rPr>
          <w:rFonts w:ascii="Palatino Linotype" w:hAnsi="Palatino Linotype"/>
          <w:i/>
          <w:sz w:val="24"/>
          <w:szCs w:val="24"/>
        </w:rPr>
        <w:t xml:space="preserve">brain disease </w:t>
      </w:r>
      <w:r w:rsidRPr="00285F0E">
        <w:rPr>
          <w:rFonts w:ascii="Palatino Linotype" w:hAnsi="Palatino Linotype"/>
          <w:sz w:val="24"/>
          <w:szCs w:val="24"/>
        </w:rPr>
        <w:t xml:space="preserve">and </w:t>
      </w:r>
      <w:r w:rsidRPr="00285F0E">
        <w:rPr>
          <w:rFonts w:ascii="Palatino Linotype" w:hAnsi="Palatino Linotype"/>
          <w:i/>
          <w:sz w:val="24"/>
          <w:szCs w:val="24"/>
        </w:rPr>
        <w:t xml:space="preserve">mental illness </w:t>
      </w:r>
      <w:r w:rsidRPr="00285F0E">
        <w:rPr>
          <w:rFonts w:ascii="Palatino Linotype" w:hAnsi="Palatino Linotype"/>
          <w:sz w:val="24"/>
          <w:szCs w:val="24"/>
        </w:rPr>
        <w:t>are both conceptually unsatisfactory.</w:t>
      </w:r>
      <w:r w:rsidR="00D60EE3">
        <w:rPr>
          <w:rStyle w:val="FootnoteReference"/>
          <w:rFonts w:ascii="Palatino Linotype" w:hAnsi="Palatino Linotype"/>
          <w:sz w:val="24"/>
          <w:szCs w:val="24"/>
        </w:rPr>
        <w:footnoteReference w:id="238"/>
      </w:r>
    </w:p>
    <w:p w14:paraId="7FA61A65" w14:textId="77777777" w:rsidR="00D60EE3" w:rsidRDefault="00D60EE3" w:rsidP="00285F0E">
      <w:pPr>
        <w:ind w:firstLine="720"/>
        <w:rPr>
          <w:rFonts w:ascii="Palatino Linotype" w:hAnsi="Palatino Linotype"/>
          <w:sz w:val="24"/>
          <w:szCs w:val="24"/>
        </w:rPr>
      </w:pPr>
    </w:p>
    <w:p w14:paraId="2DE13E0A" w14:textId="61498FC9" w:rsidR="00285F0E" w:rsidRPr="00285F0E" w:rsidRDefault="00285F0E" w:rsidP="00D60EE3">
      <w:pPr>
        <w:ind w:firstLine="720"/>
        <w:rPr>
          <w:rFonts w:ascii="Palatino Linotype" w:hAnsi="Palatino Linotype"/>
          <w:sz w:val="24"/>
          <w:szCs w:val="24"/>
        </w:rPr>
      </w:pPr>
      <w:r w:rsidRPr="00285F0E">
        <w:rPr>
          <w:rFonts w:ascii="Palatino Linotype" w:hAnsi="Palatino Linotype"/>
          <w:sz w:val="24"/>
          <w:szCs w:val="24"/>
        </w:rPr>
        <w:t>As Pies expresses, the psychiatric constructs claimed to be diseases rest upon the presuppositional beliefs that life should not include persistent human suffering, distress, and dysfunction or limit the human spirit, and that materialism rather than dualism should be the stricture in which human nature is explained and approached. This definition of disease (“without ease”) apart from actual physical markers or biological causes is phenomenological, since it concerns itself with how people feel internally and perceive themselves and life around them. Biological reductionists must shape both the distress and the phenomena causing the lack of ease—both internally (e.g., guilt, deceit, sorrow, distress, and anxiety) and externally (e.g., trauma, stress, behavior, and broken relationships)—as symptoms of a constructed syndrome</w:t>
      </w:r>
      <w:r w:rsidR="00D60EE3">
        <w:rPr>
          <w:rFonts w:ascii="Palatino Linotype" w:hAnsi="Palatino Linotype"/>
          <w:sz w:val="24"/>
          <w:szCs w:val="24"/>
        </w:rPr>
        <w:t xml:space="preserve"> </w:t>
      </w:r>
      <w:r w:rsidRPr="00285F0E">
        <w:rPr>
          <w:rFonts w:ascii="Palatino Linotype" w:hAnsi="Palatino Linotype"/>
          <w:sz w:val="24"/>
          <w:szCs w:val="24"/>
        </w:rPr>
        <w:t xml:space="preserve">and as a </w:t>
      </w:r>
      <w:r w:rsidRPr="00285F0E">
        <w:rPr>
          <w:rFonts w:ascii="Palatino Linotype" w:hAnsi="Palatino Linotype"/>
          <w:sz w:val="24"/>
          <w:szCs w:val="24"/>
        </w:rPr>
        <w:lastRenderedPageBreak/>
        <w:t>result of a potential genetic predisposition. This is precisely the conjecture of both Benjamin Rush’s fledgling hereditary theory and Emil Kraepelin’s eugenic system. In 2021, Psychiatrists Awais Aftab and Dainius Pūras recorded their discussion on how every aspect of humanity is being medicalized, and they acknowledged its tendency toward eugenics. In the interview, Aftab asks Pūras:</w:t>
      </w:r>
    </w:p>
    <w:p w14:paraId="3515CE3D" w14:textId="77777777" w:rsidR="00285F0E" w:rsidRPr="00285F0E" w:rsidRDefault="00285F0E" w:rsidP="00285F0E">
      <w:pPr>
        <w:ind w:firstLine="720"/>
        <w:rPr>
          <w:rFonts w:ascii="Palatino Linotype" w:hAnsi="Palatino Linotype"/>
          <w:sz w:val="24"/>
          <w:szCs w:val="24"/>
        </w:rPr>
      </w:pPr>
    </w:p>
    <w:p w14:paraId="2095D460" w14:textId="51BF24A1" w:rsidR="00285F0E" w:rsidRPr="00285F0E" w:rsidRDefault="00285F0E" w:rsidP="00D60EE3">
      <w:pPr>
        <w:ind w:left="720"/>
        <w:rPr>
          <w:rFonts w:ascii="Palatino Linotype" w:hAnsi="Palatino Linotype"/>
          <w:sz w:val="24"/>
          <w:szCs w:val="24"/>
        </w:rPr>
      </w:pPr>
      <w:r w:rsidRPr="00285F0E">
        <w:rPr>
          <w:rFonts w:ascii="Palatino Linotype" w:hAnsi="Palatino Linotype"/>
          <w:sz w:val="24"/>
          <w:szCs w:val="24"/>
        </w:rPr>
        <w:t>Can you elaborate more on how your approach to mental health fits in with the rejection of a division between physical and mental health? This is crucial because such a distinction is often sharply maintained by many in the critical community, who argue that health and disease are matters applicable only to the physical body and argue for complete de-medicalization of mental distress, impairment, and disability.</w:t>
      </w:r>
      <w:r w:rsidR="0071136C">
        <w:rPr>
          <w:rStyle w:val="FootnoteReference"/>
          <w:rFonts w:ascii="Palatino Linotype" w:hAnsi="Palatino Linotype"/>
          <w:sz w:val="24"/>
          <w:szCs w:val="24"/>
        </w:rPr>
        <w:footnoteReference w:id="239"/>
      </w:r>
    </w:p>
    <w:p w14:paraId="3F3B6E15" w14:textId="77777777" w:rsidR="00D60EE3" w:rsidRDefault="00D60EE3" w:rsidP="00D60EE3">
      <w:pPr>
        <w:rPr>
          <w:rFonts w:ascii="Palatino Linotype" w:hAnsi="Palatino Linotype"/>
          <w:sz w:val="24"/>
          <w:szCs w:val="24"/>
        </w:rPr>
      </w:pPr>
    </w:p>
    <w:p w14:paraId="2F013507" w14:textId="5E1DFB38" w:rsidR="00285F0E" w:rsidRPr="00285F0E" w:rsidRDefault="00285F0E" w:rsidP="00D60EE3">
      <w:pPr>
        <w:rPr>
          <w:rFonts w:ascii="Palatino Linotype" w:hAnsi="Palatino Linotype"/>
          <w:sz w:val="24"/>
          <w:szCs w:val="24"/>
        </w:rPr>
      </w:pPr>
      <w:r w:rsidRPr="00285F0E">
        <w:rPr>
          <w:rFonts w:ascii="Palatino Linotype" w:hAnsi="Palatino Linotype"/>
          <w:sz w:val="24"/>
          <w:szCs w:val="24"/>
        </w:rPr>
        <w:t>Pūras responds by stating,</w:t>
      </w:r>
    </w:p>
    <w:p w14:paraId="5C5C1253" w14:textId="77777777" w:rsidR="00285F0E" w:rsidRPr="00285F0E" w:rsidRDefault="00285F0E" w:rsidP="00285F0E">
      <w:pPr>
        <w:ind w:firstLine="720"/>
        <w:rPr>
          <w:rFonts w:ascii="Palatino Linotype" w:hAnsi="Palatino Linotype"/>
          <w:sz w:val="24"/>
          <w:szCs w:val="24"/>
        </w:rPr>
      </w:pPr>
    </w:p>
    <w:p w14:paraId="5337F09D" w14:textId="4AB91FB0" w:rsidR="00285F0E" w:rsidRPr="00285F0E" w:rsidRDefault="00285F0E" w:rsidP="00D60EE3">
      <w:pPr>
        <w:ind w:left="720"/>
        <w:rPr>
          <w:rFonts w:ascii="Palatino Linotype" w:hAnsi="Palatino Linotype"/>
          <w:sz w:val="24"/>
          <w:szCs w:val="24"/>
        </w:rPr>
      </w:pPr>
      <w:r w:rsidRPr="00285F0E">
        <w:rPr>
          <w:rFonts w:ascii="Palatino Linotype" w:hAnsi="Palatino Linotype"/>
          <w:sz w:val="24"/>
          <w:szCs w:val="24"/>
        </w:rPr>
        <w:t>I think that not only mental health, but also physical health should be reasonably de-medicalized. Excessive biomedicalization, with some tendencies towards new eugenics, is threatening the entire health sector and health care systems. Psychiatry and mental health are in a good position to remind the rest of the medical world that medicine is actually a social science.</w:t>
      </w:r>
      <w:r w:rsidR="0071136C">
        <w:rPr>
          <w:rStyle w:val="FootnoteReference"/>
          <w:rFonts w:ascii="Palatino Linotype" w:hAnsi="Palatino Linotype"/>
          <w:sz w:val="24"/>
          <w:szCs w:val="24"/>
        </w:rPr>
        <w:footnoteReference w:id="240"/>
      </w:r>
    </w:p>
    <w:p w14:paraId="6776F076" w14:textId="77777777" w:rsidR="00D60EE3" w:rsidRDefault="00D60EE3" w:rsidP="00285F0E">
      <w:pPr>
        <w:ind w:firstLine="720"/>
        <w:rPr>
          <w:rFonts w:ascii="Palatino Linotype" w:hAnsi="Palatino Linotype"/>
          <w:sz w:val="24"/>
          <w:szCs w:val="24"/>
        </w:rPr>
      </w:pPr>
    </w:p>
    <w:p w14:paraId="2416978B" w14:textId="65FAF431" w:rsidR="00285F0E" w:rsidRPr="00285F0E" w:rsidRDefault="00285F0E" w:rsidP="00285F0E">
      <w:pPr>
        <w:ind w:firstLine="720"/>
        <w:rPr>
          <w:rFonts w:ascii="Palatino Linotype" w:hAnsi="Palatino Linotype"/>
          <w:sz w:val="24"/>
          <w:szCs w:val="24"/>
        </w:rPr>
      </w:pPr>
      <w:r w:rsidRPr="00285F0E">
        <w:rPr>
          <w:rFonts w:ascii="Palatino Linotype" w:hAnsi="Palatino Linotype"/>
          <w:sz w:val="24"/>
          <w:szCs w:val="24"/>
        </w:rPr>
        <w:t>If “medical procedures,” under the banners of social sciences and altruism, are being utilized to manipulate and control the metaphysical reality of being human without people actually being restored to health, one must seriously consider the true nature and origins of the neo-Kraepelinian phenomenology that are so dominate today.</w:t>
      </w:r>
    </w:p>
    <w:p w14:paraId="1DB07380" w14:textId="77777777" w:rsidR="00D60EE3" w:rsidRDefault="00D60EE3" w:rsidP="00285F0E">
      <w:pPr>
        <w:ind w:firstLine="720"/>
        <w:rPr>
          <w:rFonts w:ascii="Palatino Linotype" w:hAnsi="Palatino Linotype"/>
          <w:sz w:val="24"/>
          <w:szCs w:val="24"/>
        </w:rPr>
      </w:pPr>
    </w:p>
    <w:p w14:paraId="11C0878A" w14:textId="58F3D7F3" w:rsidR="00285F0E" w:rsidRDefault="00285F0E" w:rsidP="00285F0E">
      <w:pPr>
        <w:ind w:firstLine="720"/>
        <w:rPr>
          <w:rFonts w:ascii="Palatino Linotype" w:hAnsi="Palatino Linotype"/>
          <w:sz w:val="24"/>
          <w:szCs w:val="24"/>
        </w:rPr>
      </w:pPr>
      <w:r w:rsidRPr="00285F0E">
        <w:rPr>
          <w:rFonts w:ascii="Palatino Linotype" w:hAnsi="Palatino Linotype"/>
          <w:sz w:val="24"/>
          <w:szCs w:val="24"/>
        </w:rPr>
        <w:t xml:space="preserve">The </w:t>
      </w:r>
      <w:r w:rsidRPr="00285F0E">
        <w:rPr>
          <w:rFonts w:ascii="Palatino Linotype" w:hAnsi="Palatino Linotype"/>
          <w:i/>
          <w:sz w:val="24"/>
          <w:szCs w:val="24"/>
        </w:rPr>
        <w:t xml:space="preserve">DSM-5 </w:t>
      </w:r>
      <w:r w:rsidRPr="00285F0E">
        <w:rPr>
          <w:rFonts w:ascii="Palatino Linotype" w:hAnsi="Palatino Linotype"/>
          <w:sz w:val="24"/>
          <w:szCs w:val="24"/>
        </w:rPr>
        <w:t>is fabricated upon this neo-Kraepelinian phenomenology, as observed in its “definition of a mental disorder”:</w:t>
      </w:r>
    </w:p>
    <w:p w14:paraId="13BAE3B1" w14:textId="77777777" w:rsidR="00D60EE3" w:rsidRPr="00285F0E" w:rsidRDefault="00D60EE3" w:rsidP="00285F0E">
      <w:pPr>
        <w:ind w:firstLine="720"/>
        <w:rPr>
          <w:rFonts w:ascii="Palatino Linotype" w:hAnsi="Palatino Linotype"/>
          <w:sz w:val="24"/>
          <w:szCs w:val="24"/>
        </w:rPr>
      </w:pPr>
    </w:p>
    <w:p w14:paraId="04F5956B" w14:textId="46C402F8" w:rsidR="00285F0E" w:rsidRPr="00285F0E" w:rsidRDefault="00285F0E" w:rsidP="00D60EE3">
      <w:pPr>
        <w:ind w:left="720"/>
        <w:rPr>
          <w:rFonts w:ascii="Palatino Linotype" w:hAnsi="Palatino Linotype"/>
          <w:sz w:val="24"/>
          <w:szCs w:val="24"/>
        </w:rPr>
      </w:pPr>
      <w:r w:rsidRPr="00285F0E">
        <w:rPr>
          <w:rFonts w:ascii="Palatino Linotype" w:hAnsi="Palatino Linotype"/>
          <w:sz w:val="24"/>
          <w:szCs w:val="24"/>
        </w:rPr>
        <w:t>A mental disorder is a syndrome characterized by clinically significant disturbance in an individual’s cognition, emotion regulation, or behavior that reflects a dysfunction.   Mental disorders are usually associated with significant distress or</w:t>
      </w:r>
      <w:r w:rsidR="00D60EE3">
        <w:rPr>
          <w:rFonts w:ascii="Palatino Linotype" w:hAnsi="Palatino Linotype"/>
          <w:sz w:val="24"/>
          <w:szCs w:val="24"/>
        </w:rPr>
        <w:t xml:space="preserve"> </w:t>
      </w:r>
      <w:r w:rsidRPr="00285F0E">
        <w:rPr>
          <w:rFonts w:ascii="Palatino Linotype" w:hAnsi="Palatino Linotype"/>
          <w:sz w:val="24"/>
          <w:szCs w:val="24"/>
        </w:rPr>
        <w:t>disability in social, occupational, or other important activities.</w:t>
      </w:r>
      <w:r w:rsidR="0071136C">
        <w:rPr>
          <w:rStyle w:val="FootnoteReference"/>
          <w:rFonts w:ascii="Palatino Linotype" w:hAnsi="Palatino Linotype"/>
          <w:sz w:val="24"/>
          <w:szCs w:val="24"/>
        </w:rPr>
        <w:footnoteReference w:id="241"/>
      </w:r>
    </w:p>
    <w:p w14:paraId="77F6DC2F" w14:textId="77777777" w:rsidR="00D60EE3" w:rsidRDefault="00D60EE3" w:rsidP="00285F0E">
      <w:pPr>
        <w:ind w:firstLine="720"/>
        <w:rPr>
          <w:rFonts w:ascii="Palatino Linotype" w:hAnsi="Palatino Linotype"/>
          <w:sz w:val="24"/>
          <w:szCs w:val="24"/>
        </w:rPr>
      </w:pPr>
    </w:p>
    <w:p w14:paraId="5C71D70D" w14:textId="10892255" w:rsidR="00285F0E" w:rsidRPr="00285F0E" w:rsidRDefault="00285F0E" w:rsidP="00285F0E">
      <w:pPr>
        <w:ind w:firstLine="720"/>
        <w:rPr>
          <w:rFonts w:ascii="Palatino Linotype" w:hAnsi="Palatino Linotype"/>
          <w:sz w:val="24"/>
          <w:szCs w:val="24"/>
        </w:rPr>
      </w:pPr>
      <w:r w:rsidRPr="00285F0E">
        <w:rPr>
          <w:rFonts w:ascii="Palatino Linotype" w:hAnsi="Palatino Linotype"/>
          <w:sz w:val="24"/>
          <w:szCs w:val="24"/>
        </w:rPr>
        <w:lastRenderedPageBreak/>
        <w:t>Psychiatrist Joanna Moncrieff reflects upon this unique concept of “disease/disorder” and expresses how psychiatry and neurology differ:</w:t>
      </w:r>
    </w:p>
    <w:p w14:paraId="1653FBDF" w14:textId="77777777" w:rsidR="00285F0E" w:rsidRPr="00285F0E" w:rsidRDefault="00285F0E" w:rsidP="00285F0E">
      <w:pPr>
        <w:ind w:firstLine="720"/>
        <w:rPr>
          <w:rFonts w:ascii="Palatino Linotype" w:hAnsi="Palatino Linotype"/>
          <w:sz w:val="24"/>
          <w:szCs w:val="24"/>
        </w:rPr>
      </w:pPr>
    </w:p>
    <w:p w14:paraId="24807992" w14:textId="0F5E09AD" w:rsidR="00285F0E" w:rsidRPr="00285F0E" w:rsidRDefault="00285F0E" w:rsidP="00E84B80">
      <w:pPr>
        <w:ind w:left="720"/>
        <w:rPr>
          <w:rFonts w:ascii="Palatino Linotype" w:hAnsi="Palatino Linotype"/>
          <w:sz w:val="24"/>
          <w:szCs w:val="24"/>
        </w:rPr>
      </w:pPr>
      <w:r w:rsidRPr="00285F0E">
        <w:rPr>
          <w:rFonts w:ascii="Palatino Linotype" w:hAnsi="Palatino Linotype"/>
          <w:sz w:val="24"/>
          <w:szCs w:val="24"/>
        </w:rPr>
        <w:t>What attracted me to psychiatry, and I believe many others, is not that the symptoms of mental illness are bizarre curiosities arising from brain irregularities. If this was the case, I could have gone into neurology. What attracted me to psychiatry, and</w:t>
      </w:r>
      <w:r w:rsidR="00E84B80">
        <w:rPr>
          <w:rFonts w:ascii="Palatino Linotype" w:hAnsi="Palatino Linotype"/>
          <w:sz w:val="24"/>
          <w:szCs w:val="24"/>
        </w:rPr>
        <w:t xml:space="preserve"> </w:t>
      </w:r>
      <w:r w:rsidRPr="00285F0E">
        <w:rPr>
          <w:rFonts w:ascii="Palatino Linotype" w:hAnsi="Palatino Linotype"/>
          <w:sz w:val="24"/>
          <w:szCs w:val="24"/>
        </w:rPr>
        <w:t>what still interests me, is the intuition that mental disorder has something profound to teach us about the nature of being human. And it does this not by reflecting brain abnormalities, but by consisting of extreme, bizarre, usually dysfunctional and sometimes unfathomable manifestations of human agency.</w:t>
      </w:r>
      <w:r w:rsidR="00157EAD">
        <w:rPr>
          <w:rStyle w:val="FootnoteReference"/>
          <w:rFonts w:ascii="Palatino Linotype" w:hAnsi="Palatino Linotype"/>
          <w:sz w:val="24"/>
          <w:szCs w:val="24"/>
        </w:rPr>
        <w:footnoteReference w:id="242"/>
      </w:r>
    </w:p>
    <w:p w14:paraId="44B689D1" w14:textId="77777777" w:rsidR="00E84B80" w:rsidRDefault="00E84B80" w:rsidP="00285F0E">
      <w:pPr>
        <w:ind w:firstLine="720"/>
        <w:rPr>
          <w:rFonts w:ascii="Palatino Linotype" w:hAnsi="Palatino Linotype"/>
          <w:sz w:val="24"/>
          <w:szCs w:val="24"/>
        </w:rPr>
      </w:pPr>
    </w:p>
    <w:p w14:paraId="6FC4980C" w14:textId="2B8C6975" w:rsidR="00285F0E" w:rsidRPr="00285F0E" w:rsidRDefault="00285F0E" w:rsidP="00285F0E">
      <w:pPr>
        <w:ind w:firstLine="720"/>
        <w:rPr>
          <w:rFonts w:ascii="Palatino Linotype" w:hAnsi="Palatino Linotype"/>
          <w:sz w:val="24"/>
          <w:szCs w:val="24"/>
        </w:rPr>
      </w:pPr>
      <w:r w:rsidRPr="00285F0E">
        <w:rPr>
          <w:rFonts w:ascii="Palatino Linotype" w:hAnsi="Palatino Linotype"/>
          <w:sz w:val="24"/>
          <w:szCs w:val="24"/>
        </w:rPr>
        <w:t>Psychiatric disorders are attempts to medicalize non-physical and distressful aspects of human nature that rest outside of evolutionists’ ability to explain, not to treat, biological diseases.</w:t>
      </w:r>
    </w:p>
    <w:p w14:paraId="74CC6F5B" w14:textId="77777777" w:rsidR="00E84B80" w:rsidRDefault="00E84B80" w:rsidP="00285F0E">
      <w:pPr>
        <w:ind w:firstLine="720"/>
        <w:rPr>
          <w:rFonts w:ascii="Palatino Linotype" w:hAnsi="Palatino Linotype"/>
          <w:sz w:val="24"/>
          <w:szCs w:val="24"/>
        </w:rPr>
      </w:pPr>
    </w:p>
    <w:p w14:paraId="6F83384D" w14:textId="6263E8D0" w:rsidR="00285F0E" w:rsidRPr="00285F0E" w:rsidRDefault="00285F0E" w:rsidP="00E84B80">
      <w:pPr>
        <w:ind w:firstLine="720"/>
        <w:rPr>
          <w:rFonts w:ascii="Palatino Linotype" w:hAnsi="Palatino Linotype"/>
          <w:i/>
          <w:sz w:val="24"/>
          <w:szCs w:val="24"/>
        </w:rPr>
      </w:pPr>
      <w:r w:rsidRPr="00285F0E">
        <w:rPr>
          <w:rFonts w:ascii="Palatino Linotype" w:hAnsi="Palatino Linotype"/>
          <w:sz w:val="24"/>
          <w:szCs w:val="24"/>
        </w:rPr>
        <w:t xml:space="preserve">It is regularly claimed that psychiatric constructs or syndromes, though unreliable and invalid, provide utility for clinicians and insurance companies until something better is devised as a replacement. But in reality, these subjective constructs largely sustain the false narrative that deep impairing human struggles and distresses are medical issues. The influential and highly respected Allen Frances, who himself oversaw the creation of numerous psychiatric constructs while serving as chair of the </w:t>
      </w:r>
      <w:r w:rsidRPr="00285F0E">
        <w:rPr>
          <w:rFonts w:ascii="Palatino Linotype" w:hAnsi="Palatino Linotype"/>
          <w:i/>
          <w:sz w:val="24"/>
          <w:szCs w:val="24"/>
        </w:rPr>
        <w:t xml:space="preserve">DSM-IV </w:t>
      </w:r>
      <w:r w:rsidRPr="00285F0E">
        <w:rPr>
          <w:rFonts w:ascii="Palatino Linotype" w:hAnsi="Palatino Linotype"/>
          <w:sz w:val="24"/>
          <w:szCs w:val="24"/>
        </w:rPr>
        <w:t xml:space="preserve">task force, offers his insight: “We saw </w:t>
      </w:r>
      <w:r w:rsidRPr="00285F0E">
        <w:rPr>
          <w:rFonts w:ascii="Palatino Linotype" w:hAnsi="Palatino Linotype"/>
          <w:i/>
          <w:sz w:val="24"/>
          <w:szCs w:val="24"/>
        </w:rPr>
        <w:t xml:space="preserve">DSM-IV </w:t>
      </w:r>
      <w:r w:rsidRPr="00285F0E">
        <w:rPr>
          <w:rFonts w:ascii="Palatino Linotype" w:hAnsi="Palatino Linotype"/>
          <w:sz w:val="24"/>
          <w:szCs w:val="24"/>
        </w:rPr>
        <w:t>as a guidebook, not a bible—a collection of temporarily useful diagnostic constructs, not a catalog of ‘real’ diseases.”</w:t>
      </w:r>
      <w:r w:rsidR="00557093">
        <w:rPr>
          <w:rStyle w:val="FootnoteReference"/>
          <w:rFonts w:ascii="Palatino Linotype" w:hAnsi="Palatino Linotype"/>
          <w:sz w:val="24"/>
          <w:szCs w:val="24"/>
        </w:rPr>
        <w:footnoteReference w:id="243"/>
      </w:r>
      <w:r w:rsidRPr="00285F0E">
        <w:rPr>
          <w:rFonts w:ascii="Palatino Linotype" w:hAnsi="Palatino Linotype"/>
          <w:sz w:val="24"/>
          <w:szCs w:val="24"/>
        </w:rPr>
        <w:t xml:space="preserve"> Other prominent academic psychiatrists, such as G. Scott Waterman and Sandra Steingard, are also honest in their assessment of the Medical Model:</w:t>
      </w:r>
    </w:p>
    <w:p w14:paraId="1813D285" w14:textId="77777777" w:rsidR="00285F0E" w:rsidRPr="00285F0E" w:rsidRDefault="00285F0E" w:rsidP="00285F0E">
      <w:pPr>
        <w:ind w:firstLine="720"/>
        <w:rPr>
          <w:rFonts w:ascii="Palatino Linotype" w:hAnsi="Palatino Linotype"/>
          <w:sz w:val="24"/>
          <w:szCs w:val="24"/>
        </w:rPr>
      </w:pPr>
    </w:p>
    <w:p w14:paraId="4B7FE50C" w14:textId="76C37D26" w:rsidR="00285F0E" w:rsidRPr="00285F0E" w:rsidRDefault="00285F0E" w:rsidP="00E84B80">
      <w:pPr>
        <w:ind w:left="720"/>
        <w:rPr>
          <w:rFonts w:ascii="Palatino Linotype" w:hAnsi="Palatino Linotype"/>
          <w:sz w:val="24"/>
          <w:szCs w:val="24"/>
        </w:rPr>
      </w:pPr>
      <w:r w:rsidRPr="00285F0E">
        <w:rPr>
          <w:rFonts w:ascii="Palatino Linotype" w:hAnsi="Palatino Linotype"/>
          <w:sz w:val="24"/>
          <w:szCs w:val="24"/>
        </w:rPr>
        <w:t>It seems to me that the notion that a psychiatric nosology should aspire to describe and catalog every manifestation and permutation of human discomfort is unrealistic. The complexities of the brain and of the social environments within which it functions are such that the proposition that psychiatric problems should come in a tractable number of packages, each sufficiently discrete (etiologically, phenomenologically, etc) to make categorical diagnosis meaningful and useful, is likely misguided.</w:t>
      </w:r>
      <w:r w:rsidR="00557093">
        <w:rPr>
          <w:rStyle w:val="FootnoteReference"/>
          <w:rFonts w:ascii="Palatino Linotype" w:hAnsi="Palatino Linotype"/>
          <w:sz w:val="24"/>
          <w:szCs w:val="24"/>
        </w:rPr>
        <w:footnoteReference w:id="244"/>
      </w:r>
    </w:p>
    <w:p w14:paraId="30BD6142" w14:textId="77777777" w:rsidR="00E84B80" w:rsidRDefault="00E84B80" w:rsidP="00285F0E">
      <w:pPr>
        <w:ind w:firstLine="720"/>
        <w:rPr>
          <w:rFonts w:ascii="Palatino Linotype" w:hAnsi="Palatino Linotype"/>
          <w:sz w:val="24"/>
          <w:szCs w:val="24"/>
        </w:rPr>
      </w:pPr>
    </w:p>
    <w:p w14:paraId="0482E810" w14:textId="5B88F8CB" w:rsidR="00285F0E" w:rsidRPr="00285F0E" w:rsidRDefault="00285F0E" w:rsidP="00285F0E">
      <w:pPr>
        <w:ind w:firstLine="720"/>
        <w:rPr>
          <w:rFonts w:ascii="Palatino Linotype" w:hAnsi="Palatino Linotype"/>
          <w:sz w:val="24"/>
          <w:szCs w:val="24"/>
        </w:rPr>
      </w:pPr>
      <w:r w:rsidRPr="00285F0E">
        <w:rPr>
          <w:rFonts w:ascii="Palatino Linotype" w:hAnsi="Palatino Linotype"/>
          <w:sz w:val="24"/>
          <w:szCs w:val="24"/>
        </w:rPr>
        <w:t xml:space="preserve">These </w:t>
      </w:r>
      <w:r w:rsidRPr="00285F0E">
        <w:rPr>
          <w:rFonts w:ascii="Palatino Linotype" w:hAnsi="Palatino Linotype"/>
          <w:i/>
          <w:sz w:val="24"/>
          <w:szCs w:val="24"/>
        </w:rPr>
        <w:t xml:space="preserve">DSM </w:t>
      </w:r>
      <w:r w:rsidRPr="00285F0E">
        <w:rPr>
          <w:rFonts w:ascii="Palatino Linotype" w:hAnsi="Palatino Linotype"/>
          <w:sz w:val="24"/>
          <w:szCs w:val="24"/>
        </w:rPr>
        <w:t>constructs are useful to sustain the Medical Model, but grievously, they are regularly destructive to the those most in need, since they negatively reshape identity/ phenomenology and lead people away from healing faith. Furthermore, these fluid constructs do not explain or treat the soul, but in practice disregard it as unimportant. Nancy Andreasen explains how the</w:t>
      </w:r>
    </w:p>
    <w:p w14:paraId="2D0D541A" w14:textId="77777777" w:rsidR="00285F0E" w:rsidRPr="00285F0E" w:rsidRDefault="00285F0E" w:rsidP="00285F0E">
      <w:pPr>
        <w:ind w:firstLine="720"/>
        <w:rPr>
          <w:rFonts w:ascii="Palatino Linotype" w:hAnsi="Palatino Linotype"/>
          <w:sz w:val="24"/>
          <w:szCs w:val="24"/>
        </w:rPr>
      </w:pPr>
    </w:p>
    <w:p w14:paraId="73603C50" w14:textId="13AC68DD" w:rsidR="00285F0E" w:rsidRPr="00285F0E" w:rsidRDefault="00285F0E" w:rsidP="00E84B80">
      <w:pPr>
        <w:ind w:left="720"/>
        <w:rPr>
          <w:rFonts w:ascii="Palatino Linotype" w:hAnsi="Palatino Linotype"/>
          <w:sz w:val="24"/>
          <w:szCs w:val="24"/>
        </w:rPr>
      </w:pPr>
      <w:r w:rsidRPr="00285F0E">
        <w:rPr>
          <w:rFonts w:ascii="Palatino Linotype" w:hAnsi="Palatino Linotype"/>
          <w:sz w:val="24"/>
          <w:szCs w:val="24"/>
        </w:rPr>
        <w:t>DSM has had a dehumanizing impact on the practice of psychiatry. History taking—the central evaluation tool in psychiatry—has frequently been reduced to the use of DSM checklists. DSM discourages clinicians from getting to know the patient as an individual person because of its dryly empirical approach.</w:t>
      </w:r>
      <w:r w:rsidR="00557093">
        <w:rPr>
          <w:rStyle w:val="FootnoteReference"/>
          <w:rFonts w:ascii="Palatino Linotype" w:hAnsi="Palatino Linotype"/>
          <w:sz w:val="24"/>
          <w:szCs w:val="24"/>
        </w:rPr>
        <w:footnoteReference w:id="245"/>
      </w:r>
    </w:p>
    <w:p w14:paraId="7C7F90A5" w14:textId="77777777" w:rsidR="00285F0E" w:rsidRDefault="00285F0E" w:rsidP="00E00A01">
      <w:pPr>
        <w:ind w:firstLine="720"/>
        <w:rPr>
          <w:rFonts w:ascii="Palatino Linotype" w:hAnsi="Palatino Linotype"/>
          <w:sz w:val="24"/>
          <w:szCs w:val="24"/>
        </w:rPr>
      </w:pPr>
    </w:p>
    <w:p w14:paraId="46CCE8D9" w14:textId="77777777" w:rsidR="00285F0E" w:rsidRPr="00285F0E" w:rsidRDefault="00285F0E" w:rsidP="00285F0E">
      <w:pPr>
        <w:ind w:firstLine="720"/>
        <w:rPr>
          <w:rFonts w:ascii="Palatino Linotype" w:hAnsi="Palatino Linotype"/>
          <w:sz w:val="24"/>
          <w:szCs w:val="24"/>
        </w:rPr>
      </w:pPr>
      <w:r w:rsidRPr="00285F0E">
        <w:rPr>
          <w:rFonts w:ascii="Palatino Linotype" w:hAnsi="Palatino Linotype"/>
          <w:sz w:val="24"/>
          <w:szCs w:val="24"/>
        </w:rPr>
        <w:t>Sami Timimi also comments,</w:t>
      </w:r>
    </w:p>
    <w:p w14:paraId="3E0D979C" w14:textId="77777777" w:rsidR="00285F0E" w:rsidRPr="00285F0E" w:rsidRDefault="00285F0E" w:rsidP="00285F0E">
      <w:pPr>
        <w:ind w:firstLine="720"/>
        <w:rPr>
          <w:rFonts w:ascii="Palatino Linotype" w:hAnsi="Palatino Linotype"/>
          <w:sz w:val="24"/>
          <w:szCs w:val="24"/>
        </w:rPr>
      </w:pPr>
    </w:p>
    <w:p w14:paraId="2A7E2027" w14:textId="4501DAB2" w:rsidR="00285F0E" w:rsidRPr="00285F0E" w:rsidRDefault="00285F0E" w:rsidP="00E84B80">
      <w:pPr>
        <w:ind w:left="720"/>
        <w:rPr>
          <w:rFonts w:ascii="Palatino Linotype" w:hAnsi="Palatino Linotype"/>
          <w:sz w:val="24"/>
          <w:szCs w:val="24"/>
        </w:rPr>
      </w:pPr>
      <w:r w:rsidRPr="00285F0E">
        <w:rPr>
          <w:rFonts w:ascii="Palatino Linotype" w:hAnsi="Palatino Linotype"/>
          <w:sz w:val="24"/>
          <w:szCs w:val="24"/>
        </w:rPr>
        <w:t>The labelling of our experiences with medicalized language has spread far and wide. It entrenches a fear of, and alienation from, an appreciation of the ordinariness and understandability of a panoply of human emotional experiences. When we place our emotional experiences in a problematizing framework, we extract the everyday meanings these have and become worried that there is something wrong in us beyond our (and our meaningful others’) capacity to comprehend. Mental health education campaigns have made this dynamic worse… we have made more individuals suspicious that their experiences are a signal that there is something deeply wrong in them.</w:t>
      </w:r>
      <w:r w:rsidR="00557093">
        <w:rPr>
          <w:rStyle w:val="FootnoteReference"/>
          <w:rFonts w:ascii="Palatino Linotype" w:hAnsi="Palatino Linotype"/>
          <w:sz w:val="24"/>
          <w:szCs w:val="24"/>
        </w:rPr>
        <w:footnoteReference w:id="246"/>
      </w:r>
    </w:p>
    <w:p w14:paraId="44FF0A4A" w14:textId="77777777" w:rsidR="00E84B80" w:rsidRDefault="00E84B80" w:rsidP="00285F0E">
      <w:pPr>
        <w:ind w:firstLine="720"/>
        <w:rPr>
          <w:rFonts w:ascii="Palatino Linotype" w:hAnsi="Palatino Linotype"/>
          <w:sz w:val="24"/>
          <w:szCs w:val="24"/>
        </w:rPr>
      </w:pPr>
    </w:p>
    <w:p w14:paraId="43A441E6" w14:textId="6C48EED3" w:rsidR="00285F0E" w:rsidRPr="00285F0E" w:rsidRDefault="00285F0E" w:rsidP="00285F0E">
      <w:pPr>
        <w:ind w:firstLine="720"/>
        <w:rPr>
          <w:rFonts w:ascii="Palatino Linotype" w:hAnsi="Palatino Linotype"/>
          <w:sz w:val="24"/>
          <w:szCs w:val="24"/>
        </w:rPr>
      </w:pPr>
      <w:r w:rsidRPr="00285F0E">
        <w:rPr>
          <w:rFonts w:ascii="Palatino Linotype" w:hAnsi="Palatino Linotype"/>
          <w:sz w:val="24"/>
          <w:szCs w:val="24"/>
        </w:rPr>
        <w:t>Academic psychiatrists insist that they can best approach the soul by medicalizing its reality and phenomena, while at the same time they hold to and apply a system that dehumanizes people and disregards the very metaphysical core of the person they claim to understand and treat.</w:t>
      </w:r>
    </w:p>
    <w:p w14:paraId="6E1E493D" w14:textId="77777777" w:rsidR="00E84B80" w:rsidRDefault="00E84B80" w:rsidP="00285F0E">
      <w:pPr>
        <w:ind w:firstLine="720"/>
        <w:rPr>
          <w:rFonts w:ascii="Palatino Linotype" w:hAnsi="Palatino Linotype"/>
          <w:sz w:val="24"/>
          <w:szCs w:val="24"/>
        </w:rPr>
      </w:pPr>
    </w:p>
    <w:p w14:paraId="0F80E435" w14:textId="073A9978" w:rsidR="00285F0E" w:rsidRPr="00285F0E" w:rsidRDefault="00285F0E" w:rsidP="00285F0E">
      <w:pPr>
        <w:ind w:firstLine="720"/>
        <w:rPr>
          <w:rFonts w:ascii="Palatino Linotype" w:hAnsi="Palatino Linotype"/>
          <w:sz w:val="24"/>
          <w:szCs w:val="24"/>
        </w:rPr>
      </w:pPr>
      <w:r w:rsidRPr="00285F0E">
        <w:rPr>
          <w:rFonts w:ascii="Palatino Linotype" w:hAnsi="Palatino Linotype"/>
          <w:sz w:val="24"/>
          <w:szCs w:val="24"/>
        </w:rPr>
        <w:t xml:space="preserve">While it is evident that psychiatrists are attempting to philosophically recast the soul as if it is a bodily function or is born out of the material body, critics of the Medical Model’s phenomenology have argued that the paradigm is truly medical for a few weak reasons: its principal practitioners are trained and licensed in medicine, physicians determine that no valid biological condition actually exists (e.g., insomnia, </w:t>
      </w:r>
      <w:r w:rsidRPr="00285F0E">
        <w:rPr>
          <w:rFonts w:ascii="Palatino Linotype" w:hAnsi="Palatino Linotype"/>
          <w:sz w:val="24"/>
          <w:szCs w:val="24"/>
        </w:rPr>
        <w:lastRenderedPageBreak/>
        <w:t>Huntington’s Disease, or a brain tumor), practitioners refer to the phenomenological process of showing empathy and re-describing the patient’s description with a medically sounding descriptive label as a “diagnosis” (e.g., a person’s low mood is re-described as depression), and physicians prescribe manufactured and FDA-controlled drugs which have misleading descriptive nomenclature that corresponds to the phenomenological label (e.g., antidepressants for major depressive disorder).</w:t>
      </w:r>
    </w:p>
    <w:p w14:paraId="652C7278" w14:textId="77777777" w:rsidR="00557093" w:rsidRDefault="00557093" w:rsidP="00285F0E">
      <w:pPr>
        <w:ind w:firstLine="720"/>
        <w:rPr>
          <w:rFonts w:ascii="Palatino Linotype" w:hAnsi="Palatino Linotype"/>
          <w:sz w:val="24"/>
          <w:szCs w:val="24"/>
        </w:rPr>
      </w:pPr>
    </w:p>
    <w:p w14:paraId="5EBF7BF3" w14:textId="7165B061" w:rsidR="00285F0E" w:rsidRPr="00285F0E" w:rsidRDefault="00285F0E" w:rsidP="00285F0E">
      <w:pPr>
        <w:ind w:firstLine="720"/>
        <w:rPr>
          <w:rFonts w:ascii="Palatino Linotype" w:hAnsi="Palatino Linotype"/>
          <w:sz w:val="24"/>
          <w:szCs w:val="24"/>
        </w:rPr>
      </w:pPr>
      <w:r w:rsidRPr="00285F0E">
        <w:rPr>
          <w:rFonts w:ascii="Palatino Linotype" w:hAnsi="Palatino Linotype"/>
          <w:sz w:val="24"/>
          <w:szCs w:val="24"/>
        </w:rPr>
        <w:t>Except for a physician’s conducting an initial physical/medical evaluation to determine a person does not have a valid organic illness, what is framed as medical practice within the Medical Model is almost entirely phenomenological, which explains why both licensed therapists and psychologists regularly diagnose people as mentally disordered. For instance, Nassir Ghaemi stresses how the assigning of labels and writing of prescriptions for metaphysical human struggles is itself phenomenologically driven and not medically initiated:</w:t>
      </w:r>
    </w:p>
    <w:p w14:paraId="73030A0B" w14:textId="77777777" w:rsidR="00285F0E" w:rsidRPr="00285F0E" w:rsidRDefault="00285F0E" w:rsidP="00285F0E">
      <w:pPr>
        <w:ind w:firstLine="720"/>
        <w:rPr>
          <w:rFonts w:ascii="Palatino Linotype" w:hAnsi="Palatino Linotype"/>
          <w:sz w:val="24"/>
          <w:szCs w:val="24"/>
        </w:rPr>
      </w:pPr>
    </w:p>
    <w:p w14:paraId="749C1D08" w14:textId="524BEC63" w:rsidR="00557093" w:rsidRPr="00557093" w:rsidRDefault="00285F0E" w:rsidP="00557093">
      <w:pPr>
        <w:ind w:left="720"/>
        <w:rPr>
          <w:rFonts w:ascii="Palatino Linotype" w:hAnsi="Palatino Linotype"/>
          <w:sz w:val="24"/>
          <w:szCs w:val="24"/>
        </w:rPr>
      </w:pPr>
      <w:r w:rsidRPr="00285F0E">
        <w:rPr>
          <w:rFonts w:ascii="Palatino Linotype" w:hAnsi="Palatino Linotype"/>
          <w:sz w:val="24"/>
          <w:szCs w:val="24"/>
        </w:rPr>
        <w:t>20th century treatment is the giving of pills for symptoms, augmented by the giving of counseling for everything. If depressed, give antidepressant; if anxious, give anxiolytic; if labile or psychotic, give neuroleptic; if insomniac, give sedative; if cognitively impaired, give amphetamine. And we justify this highly simplistic symptom-based approach with a pseudoscience of neurotransmitters going up or down based on animal studies which are hardly proven or disproven or unclearly related to the human conditions we are treating</w:t>
      </w:r>
      <w:r w:rsidR="00557093">
        <w:rPr>
          <w:rFonts w:ascii="Palatino Linotype" w:hAnsi="Palatino Linotype"/>
          <w:sz w:val="24"/>
          <w:szCs w:val="24"/>
        </w:rPr>
        <w:t xml:space="preserve">… </w:t>
      </w:r>
      <w:r w:rsidRPr="00285F0E">
        <w:rPr>
          <w:rFonts w:ascii="Palatino Linotype" w:hAnsi="Palatino Linotype"/>
          <w:sz w:val="24"/>
          <w:szCs w:val="24"/>
        </w:rPr>
        <w:t>Our best-selling</w:t>
      </w:r>
      <w:r w:rsidR="00557093">
        <w:rPr>
          <w:rFonts w:ascii="Palatino Linotype" w:hAnsi="Palatino Linotype"/>
          <w:sz w:val="24"/>
          <w:szCs w:val="24"/>
        </w:rPr>
        <w:t xml:space="preserve"> </w:t>
      </w:r>
      <w:r w:rsidR="00557093" w:rsidRPr="00557093">
        <w:rPr>
          <w:rFonts w:ascii="Palatino Linotype" w:hAnsi="Palatino Linotype"/>
          <w:sz w:val="24"/>
          <w:szCs w:val="24"/>
        </w:rPr>
        <w:t>psychopharmacology textbook consists of pure speculations presented as pretty pictures with color-coded synapses, and key-lock receptors and chemicals, which we mistake for science. We have a huge amount of neurobiology research now to conclude that the 20th century neurotransmitter theories of psychopharmacology basically are false. The dopamine and monoamine hypotheses of schizophrenia and depression are wrong, and thus using our drug classes to increase or decrease neurotransmitters is wrong-headed.</w:t>
      </w:r>
      <w:r w:rsidR="00A6220B">
        <w:rPr>
          <w:rStyle w:val="FootnoteReference"/>
          <w:rFonts w:ascii="Palatino Linotype" w:hAnsi="Palatino Linotype"/>
          <w:sz w:val="24"/>
          <w:szCs w:val="24"/>
        </w:rPr>
        <w:footnoteReference w:id="247"/>
      </w:r>
    </w:p>
    <w:p w14:paraId="1F079248" w14:textId="77777777" w:rsidR="00557093" w:rsidRDefault="00557093" w:rsidP="00557093">
      <w:pPr>
        <w:ind w:firstLine="720"/>
        <w:rPr>
          <w:rFonts w:ascii="Palatino Linotype" w:hAnsi="Palatino Linotype"/>
          <w:sz w:val="24"/>
          <w:szCs w:val="24"/>
        </w:rPr>
      </w:pPr>
    </w:p>
    <w:p w14:paraId="2412BE5C" w14:textId="0FF0AC1D"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 xml:space="preserve">No medical degree is needed to be empathetic with others, to choose a phenomenological category according to a person’s thoughts, emotions, and behaviors, to determine if someone is in “severe” distress or “without ease,” or to assign stigmatizing labels. In fact, if one simply follows the descriptive labels of alleged disorders with descriptive labels of psychopharmacology and learns the published guidelines, as Ghaemi discusses, then no knowledge of the body or any medical </w:t>
      </w:r>
      <w:r w:rsidRPr="00557093">
        <w:rPr>
          <w:rFonts w:ascii="Palatino Linotype" w:hAnsi="Palatino Linotype"/>
          <w:sz w:val="24"/>
          <w:szCs w:val="24"/>
        </w:rPr>
        <w:lastRenderedPageBreak/>
        <w:t>training is necessary to make a psychiatric diagnosis or to prescribe psychiatric drugs.</w:t>
      </w:r>
    </w:p>
    <w:p w14:paraId="5286B18C" w14:textId="77777777" w:rsidR="00557093" w:rsidRDefault="00557093" w:rsidP="00557093">
      <w:pPr>
        <w:ind w:firstLine="720"/>
        <w:rPr>
          <w:rFonts w:ascii="Palatino Linotype" w:hAnsi="Palatino Linotype"/>
          <w:sz w:val="24"/>
          <w:szCs w:val="24"/>
        </w:rPr>
      </w:pPr>
    </w:p>
    <w:p w14:paraId="7E1D8C09" w14:textId="0083920D"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When a chosen drug does not work to achieve the desired phenomenological effect, then practitioners simply experiment with another one until they find one that “works.” Caleb Gardner and Arthur Kleinman determined that:</w:t>
      </w:r>
    </w:p>
    <w:p w14:paraId="4E923373" w14:textId="77777777" w:rsidR="00557093" w:rsidRPr="00557093" w:rsidRDefault="00557093" w:rsidP="00557093">
      <w:pPr>
        <w:ind w:left="720"/>
        <w:rPr>
          <w:rFonts w:ascii="Palatino Linotype" w:hAnsi="Palatino Linotype"/>
          <w:sz w:val="24"/>
          <w:szCs w:val="24"/>
        </w:rPr>
      </w:pPr>
    </w:p>
    <w:p w14:paraId="59CC981F" w14:textId="375004D1" w:rsidR="00557093" w:rsidRPr="00557093" w:rsidRDefault="00557093" w:rsidP="00557093">
      <w:pPr>
        <w:ind w:left="720"/>
        <w:rPr>
          <w:rFonts w:ascii="Palatino Linotype" w:hAnsi="Palatino Linotype"/>
          <w:sz w:val="24"/>
          <w:szCs w:val="24"/>
        </w:rPr>
      </w:pPr>
      <w:r w:rsidRPr="00557093">
        <w:rPr>
          <w:rFonts w:ascii="Palatino Linotype" w:hAnsi="Palatino Linotype"/>
          <w:sz w:val="24"/>
          <w:szCs w:val="24"/>
        </w:rPr>
        <w:t xml:space="preserve">We are facing the stark limitations of biologic treatments, while finding less and less time to work with patients on difficult problems. Ironically, although these limitations are widely recognized by experts in the field, the prevailing message to the public and the rest of medicine remains that the solution to psychological problems involves matching the “right” diagnosis with the “right” medication. </w:t>
      </w:r>
      <w:r w:rsidRPr="00557093">
        <w:rPr>
          <w:rFonts w:ascii="Palatino Linotype" w:hAnsi="Palatino Linotype"/>
          <w:i/>
          <w:sz w:val="24"/>
          <w:szCs w:val="24"/>
        </w:rPr>
        <w:t xml:space="preserve">Consequently, psychiatric diagnoses and medications proliferate under the banner of scientific medicine, though there is no comprehensive biologic understanding of either the causes or the treatments of psychiatric disorders. The problem is not simply one of scientific and intellectual integrity </w:t>
      </w:r>
      <w:r w:rsidRPr="00557093">
        <w:rPr>
          <w:rFonts w:ascii="Palatino Linotype" w:hAnsi="Palatino Linotype"/>
          <w:sz w:val="24"/>
          <w:szCs w:val="24"/>
        </w:rPr>
        <w:t>[emphasis added].</w:t>
      </w:r>
      <w:r w:rsidR="00A6220B">
        <w:rPr>
          <w:rStyle w:val="FootnoteReference"/>
          <w:rFonts w:ascii="Palatino Linotype" w:hAnsi="Palatino Linotype"/>
          <w:sz w:val="24"/>
          <w:szCs w:val="24"/>
        </w:rPr>
        <w:footnoteReference w:id="248"/>
      </w:r>
    </w:p>
    <w:p w14:paraId="47AB096A" w14:textId="77777777" w:rsidR="00557093" w:rsidRDefault="00557093" w:rsidP="00557093">
      <w:pPr>
        <w:rPr>
          <w:rFonts w:ascii="Palatino Linotype" w:hAnsi="Palatino Linotype"/>
          <w:sz w:val="24"/>
          <w:szCs w:val="24"/>
        </w:rPr>
      </w:pPr>
    </w:p>
    <w:p w14:paraId="18F4B2D5" w14:textId="145623E0"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When these very limited drugs do not bring about the desired “therapeutic effect,” people struggling are likely to be further categorized as abnormal. The prevailing idea within this worldview is that the well-established system of psychopharmacology constitutes valid and reliable medicine. Thus, anyone who is not “helped” by the bio-chemical treatments may also be categorized as “treatment-resistant,” which suggests an additional level of disorder. For example, the Mayo clinic informs,</w:t>
      </w:r>
    </w:p>
    <w:p w14:paraId="7E7D597C" w14:textId="77777777" w:rsidR="00557093" w:rsidRPr="00557093" w:rsidRDefault="00557093" w:rsidP="00557093">
      <w:pPr>
        <w:ind w:left="720"/>
        <w:rPr>
          <w:rFonts w:ascii="Palatino Linotype" w:hAnsi="Palatino Linotype"/>
          <w:sz w:val="24"/>
          <w:szCs w:val="24"/>
        </w:rPr>
      </w:pPr>
    </w:p>
    <w:p w14:paraId="5018B9E9" w14:textId="1253DAF3" w:rsidR="00557093" w:rsidRPr="00557093" w:rsidRDefault="00557093" w:rsidP="00557093">
      <w:pPr>
        <w:ind w:left="720"/>
        <w:rPr>
          <w:rFonts w:ascii="Palatino Linotype" w:hAnsi="Palatino Linotype"/>
          <w:sz w:val="24"/>
          <w:szCs w:val="24"/>
        </w:rPr>
      </w:pPr>
      <w:r w:rsidRPr="00557093">
        <w:rPr>
          <w:rFonts w:ascii="Palatino Linotype" w:hAnsi="Palatino Linotype"/>
          <w:sz w:val="24"/>
          <w:szCs w:val="24"/>
        </w:rPr>
        <w:t xml:space="preserve">If you’ve been treated for depression but your symptoms haven’t improved, you may have treatment-resistant depression. Taking an antidepressant or going to psychological counseling (psychotherapy) </w:t>
      </w:r>
      <w:r w:rsidRPr="00557093">
        <w:rPr>
          <w:rFonts w:ascii="Palatino Linotype" w:hAnsi="Palatino Linotype"/>
          <w:i/>
          <w:sz w:val="24"/>
          <w:szCs w:val="24"/>
        </w:rPr>
        <w:t xml:space="preserve">eases depression symptoms for most people. </w:t>
      </w:r>
      <w:r w:rsidRPr="00557093">
        <w:rPr>
          <w:rFonts w:ascii="Palatino Linotype" w:hAnsi="Palatino Linotype"/>
          <w:sz w:val="24"/>
          <w:szCs w:val="24"/>
        </w:rPr>
        <w:t>But with treatment-resistant depression, standard treatments aren’t enough. They</w:t>
      </w:r>
      <w:r>
        <w:rPr>
          <w:rFonts w:ascii="Palatino Linotype" w:hAnsi="Palatino Linotype"/>
          <w:sz w:val="24"/>
          <w:szCs w:val="24"/>
        </w:rPr>
        <w:t xml:space="preserve"> </w:t>
      </w:r>
      <w:r w:rsidRPr="00557093">
        <w:rPr>
          <w:rFonts w:ascii="Palatino Linotype" w:hAnsi="Palatino Linotype"/>
          <w:sz w:val="24"/>
          <w:szCs w:val="24"/>
        </w:rPr>
        <w:t>may not help much at all, or your symptoms may improve, only to keep coming back [emphasis added].</w:t>
      </w:r>
      <w:r w:rsidR="00A141FF">
        <w:rPr>
          <w:rStyle w:val="FootnoteReference"/>
          <w:rFonts w:ascii="Palatino Linotype" w:hAnsi="Palatino Linotype"/>
          <w:sz w:val="24"/>
          <w:szCs w:val="24"/>
        </w:rPr>
        <w:footnoteReference w:id="249"/>
      </w:r>
    </w:p>
    <w:p w14:paraId="674C38C3" w14:textId="77777777" w:rsidR="00557093" w:rsidRDefault="00557093" w:rsidP="00557093">
      <w:pPr>
        <w:ind w:firstLine="720"/>
        <w:rPr>
          <w:rFonts w:ascii="Palatino Linotype" w:hAnsi="Palatino Linotype"/>
          <w:sz w:val="24"/>
          <w:szCs w:val="24"/>
        </w:rPr>
      </w:pPr>
    </w:p>
    <w:p w14:paraId="65788B43" w14:textId="312D6487" w:rsidR="00557093" w:rsidRDefault="00557093" w:rsidP="00B107A3">
      <w:pPr>
        <w:ind w:firstLine="720"/>
        <w:rPr>
          <w:rFonts w:ascii="Palatino Linotype" w:hAnsi="Palatino Linotype"/>
          <w:sz w:val="24"/>
          <w:szCs w:val="24"/>
        </w:rPr>
      </w:pPr>
      <w:r w:rsidRPr="00557093">
        <w:rPr>
          <w:rFonts w:ascii="Palatino Linotype" w:hAnsi="Palatino Linotype"/>
          <w:sz w:val="24"/>
          <w:szCs w:val="24"/>
        </w:rPr>
        <w:t xml:space="preserve">As stated, psychopharmacology and psychotherapy are purposed to “ease” the “dis-eased.” When the system does not “work,” as regularly occurs, rarely does anyone bother to consider the reality that the entire paradigm, starting with the initial diagnosis, rests upon an unvalidated phenomenology rather than upon objective fact. </w:t>
      </w:r>
      <w:r w:rsidRPr="00557093">
        <w:rPr>
          <w:rFonts w:ascii="Palatino Linotype" w:hAnsi="Palatino Linotype"/>
          <w:sz w:val="24"/>
          <w:szCs w:val="24"/>
        </w:rPr>
        <w:lastRenderedPageBreak/>
        <w:t>As with categorizing people with major depressive disorder, labeling them as having treatment-resistant depression mentally propels many into a worse state of hopelessness. These agreed-upon designations do not explain the person; they simply re-describe phenomena.</w:t>
      </w:r>
    </w:p>
    <w:p w14:paraId="16416A37" w14:textId="77777777" w:rsidR="00B107A3" w:rsidRDefault="00B107A3" w:rsidP="00B107A3">
      <w:pPr>
        <w:ind w:firstLine="720"/>
        <w:rPr>
          <w:rFonts w:ascii="Palatino Linotype" w:hAnsi="Palatino Linotype"/>
          <w:sz w:val="24"/>
          <w:szCs w:val="24"/>
        </w:rPr>
      </w:pPr>
    </w:p>
    <w:p w14:paraId="3FFCBFC9" w14:textId="722A8D38"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 xml:space="preserve">Tragically, the majority of psychiatric drug actions/chemical mechanisms attack healthy functions of the body, as they are classified as </w:t>
      </w:r>
      <w:r w:rsidRPr="00557093">
        <w:rPr>
          <w:rFonts w:ascii="Palatino Linotype" w:hAnsi="Palatino Linotype"/>
          <w:i/>
          <w:sz w:val="24"/>
          <w:szCs w:val="24"/>
        </w:rPr>
        <w:t xml:space="preserve">antagonists. </w:t>
      </w:r>
      <w:r w:rsidRPr="00557093">
        <w:rPr>
          <w:rFonts w:ascii="Palatino Linotype" w:hAnsi="Palatino Linotype"/>
          <w:sz w:val="24"/>
          <w:szCs w:val="24"/>
        </w:rPr>
        <w:t>The body’s natural reaction to these harmful substances is to resist them, which causes horrific unhealthy and destructive effects, especially with long-term use and during periods of withdrawal.</w:t>
      </w:r>
    </w:p>
    <w:p w14:paraId="3A328E58" w14:textId="77777777" w:rsidR="00557093" w:rsidRDefault="00557093" w:rsidP="00557093">
      <w:pPr>
        <w:ind w:firstLine="720"/>
        <w:rPr>
          <w:rFonts w:ascii="Palatino Linotype" w:hAnsi="Palatino Linotype"/>
          <w:sz w:val="24"/>
          <w:szCs w:val="24"/>
        </w:rPr>
      </w:pPr>
    </w:p>
    <w:p w14:paraId="5E56539D" w14:textId="21F4C4B4"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Leaders within the Medical Model admit that these drugs do not heal; they simply provide “therapeutic effects.” In other words, these synthesized chemicals do not target biological diseases, fix misfiring neurotransmitters, or compensate for abnormal genes. Instead, they are offered as an attempt to help people “feel better” or as a means of control.The National Institute of Mental Health offers one illustration of how this reality is well-understood: “Medications treat the symptoms of mental disorders. They cannot cure the disorder, but they make people feel better so they can function.”</w:t>
      </w:r>
      <w:r w:rsidR="00A141FF">
        <w:rPr>
          <w:rStyle w:val="FootnoteReference"/>
          <w:rFonts w:ascii="Palatino Linotype" w:hAnsi="Palatino Linotype"/>
          <w:sz w:val="24"/>
          <w:szCs w:val="24"/>
        </w:rPr>
        <w:footnoteReference w:id="250"/>
      </w:r>
      <w:r w:rsidRPr="00557093">
        <w:rPr>
          <w:rFonts w:ascii="Palatino Linotype" w:hAnsi="Palatino Linotype"/>
          <w:sz w:val="24"/>
          <w:szCs w:val="24"/>
        </w:rPr>
        <w:t xml:space="preserve"> If making a patient feel better rather than restoring that person to health is how an experience, object, or prescribed drug is judged to be medicinal, then what objective standard limits other human activities such as taking vacations, enjoying sexual intimacy, eating food, taking hikes, consuming recreational drugs, creating art projects, gambling, etc. from being considered as valid medical treatments? If no objective standard exists and all desirable activities and mind-altering substances are viewed as self-medication, then people who are labeled as bipolar because of their manic episodes are simply turning to their own resources, intellect, and efforts to find therapeutic relief from their deep despair and hopeless condition. Within this line of reasoning, this passionate effort should not be judged as disordered then, but as medicinal. If turning inward, as humanism teaches, is the answer to humanity’s deepest struggles, then mania should be viewed as a premier medical treatment, since most of the behavior classified as a manic episode involves participation in engaging activities that yield some type of euphoria and/or chemical high (sexual indiscretion, recreational drugs, adventures, risk taking, etc.). Yet, with both illicit and prescribed drugs, there are ultimately destructive consequences when a person attempts to treat the soul apart from God’s grace.</w:t>
      </w:r>
    </w:p>
    <w:p w14:paraId="48AF4C2A" w14:textId="77777777" w:rsidR="00557093" w:rsidRDefault="00557093" w:rsidP="00557093">
      <w:pPr>
        <w:ind w:firstLine="720"/>
        <w:rPr>
          <w:rFonts w:ascii="Palatino Linotype" w:hAnsi="Palatino Linotype"/>
          <w:sz w:val="24"/>
          <w:szCs w:val="24"/>
        </w:rPr>
      </w:pPr>
    </w:p>
    <w:p w14:paraId="4EEEE196" w14:textId="18F81547" w:rsidR="00285F0E" w:rsidRDefault="00557093" w:rsidP="00557093">
      <w:pPr>
        <w:ind w:firstLine="720"/>
        <w:rPr>
          <w:rFonts w:ascii="Palatino Linotype" w:hAnsi="Palatino Linotype"/>
          <w:sz w:val="24"/>
          <w:szCs w:val="24"/>
        </w:rPr>
      </w:pPr>
      <w:r w:rsidRPr="00557093">
        <w:rPr>
          <w:rFonts w:ascii="Palatino Linotype" w:hAnsi="Palatino Linotype"/>
          <w:sz w:val="24"/>
          <w:szCs w:val="24"/>
        </w:rPr>
        <w:lastRenderedPageBreak/>
        <w:t>The actuality that psychotropic drugs are offered in attempt to make people feel better verifies that even the prescribing of drugs is primarily phenomenological rather than biological.</w:t>
      </w:r>
    </w:p>
    <w:p w14:paraId="7EEAF8C2" w14:textId="77777777" w:rsidR="00557093" w:rsidRDefault="00557093" w:rsidP="00E00A01">
      <w:pPr>
        <w:ind w:firstLine="720"/>
        <w:rPr>
          <w:rFonts w:ascii="Palatino Linotype" w:hAnsi="Palatino Linotype"/>
          <w:sz w:val="24"/>
          <w:szCs w:val="24"/>
        </w:rPr>
      </w:pPr>
    </w:p>
    <w:p w14:paraId="1B99CB86" w14:textId="1BFC914A"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 xml:space="preserve">If people </w:t>
      </w:r>
      <w:r w:rsidRPr="00557093">
        <w:rPr>
          <w:rFonts w:ascii="Palatino Linotype" w:hAnsi="Palatino Linotype"/>
          <w:i/>
          <w:sz w:val="24"/>
          <w:szCs w:val="24"/>
        </w:rPr>
        <w:t xml:space="preserve">feel </w:t>
      </w:r>
      <w:r w:rsidRPr="00557093">
        <w:rPr>
          <w:rFonts w:ascii="Palatino Linotype" w:hAnsi="Palatino Linotype"/>
          <w:sz w:val="24"/>
          <w:szCs w:val="24"/>
        </w:rPr>
        <w:t>better (“to have a [positive] mental perception”</w:t>
      </w:r>
      <w:r w:rsidR="00B107A3">
        <w:rPr>
          <w:rStyle w:val="FootnoteReference"/>
          <w:rFonts w:ascii="Palatino Linotype" w:hAnsi="Palatino Linotype"/>
          <w:sz w:val="24"/>
          <w:szCs w:val="24"/>
        </w:rPr>
        <w:footnoteReference w:id="251"/>
      </w:r>
      <w:r w:rsidRPr="00557093">
        <w:rPr>
          <w:rFonts w:ascii="Palatino Linotype" w:hAnsi="Palatino Linotype"/>
          <w:sz w:val="24"/>
          <w:szCs w:val="24"/>
        </w:rPr>
        <w:t>), improve their performance (such as in the case of stimulants), or make others think more highly of the consumer, then the narrative that these drugs are medicinal in a biological, rather than phenomenological, sense can be disseminated.</w:t>
      </w:r>
    </w:p>
    <w:p w14:paraId="56F8FE69" w14:textId="77777777" w:rsidR="00557093" w:rsidRDefault="00557093" w:rsidP="00557093">
      <w:pPr>
        <w:ind w:firstLine="720"/>
        <w:rPr>
          <w:rFonts w:ascii="Palatino Linotype" w:hAnsi="Palatino Linotype"/>
          <w:sz w:val="24"/>
          <w:szCs w:val="24"/>
        </w:rPr>
      </w:pPr>
    </w:p>
    <w:p w14:paraId="76219085" w14:textId="0054F99F"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Interestingly though, some prominent figures who endorse the Medical Model admit that forms of humanistic discipleship/counseling are regularly more therapeutic than psychotropic drugs and that supportive relationships positively alter the body and make people feel better:</w:t>
      </w:r>
    </w:p>
    <w:p w14:paraId="00B22B0B" w14:textId="77777777" w:rsidR="00557093" w:rsidRPr="00557093" w:rsidRDefault="00557093" w:rsidP="00557093">
      <w:pPr>
        <w:ind w:firstLine="720"/>
        <w:rPr>
          <w:rFonts w:ascii="Palatino Linotype" w:hAnsi="Palatino Linotype"/>
          <w:sz w:val="24"/>
          <w:szCs w:val="24"/>
        </w:rPr>
      </w:pPr>
    </w:p>
    <w:p w14:paraId="4E29E7B0" w14:textId="2404CA9E" w:rsidR="00557093" w:rsidRPr="00557093" w:rsidRDefault="00557093" w:rsidP="00557093">
      <w:pPr>
        <w:ind w:left="720"/>
        <w:rPr>
          <w:rFonts w:ascii="Palatino Linotype" w:hAnsi="Palatino Linotype"/>
          <w:sz w:val="24"/>
          <w:szCs w:val="24"/>
        </w:rPr>
      </w:pPr>
      <w:r w:rsidRPr="00557093">
        <w:rPr>
          <w:rFonts w:ascii="Palatino Linotype" w:hAnsi="Palatino Linotype"/>
          <w:sz w:val="24"/>
          <w:szCs w:val="24"/>
        </w:rPr>
        <w:t>The effects of psychosocial interventions such as meditation and long-term cognitive-behavioral therapy on the brain are now indisputable. I like to say that psychosocial interventions are often more biological in their effects than the drugs!</w:t>
      </w:r>
      <w:r w:rsidR="00B107A3">
        <w:rPr>
          <w:rStyle w:val="FootnoteReference"/>
          <w:rFonts w:ascii="Palatino Linotype" w:hAnsi="Palatino Linotype"/>
          <w:sz w:val="24"/>
          <w:szCs w:val="24"/>
        </w:rPr>
        <w:footnoteReference w:id="252"/>
      </w:r>
    </w:p>
    <w:p w14:paraId="5208AEFC" w14:textId="77777777" w:rsidR="00557093" w:rsidRDefault="00557093" w:rsidP="00557093">
      <w:pPr>
        <w:ind w:firstLine="720"/>
        <w:rPr>
          <w:rFonts w:ascii="Palatino Linotype" w:hAnsi="Palatino Linotype"/>
          <w:sz w:val="24"/>
          <w:szCs w:val="24"/>
        </w:rPr>
      </w:pPr>
    </w:p>
    <w:p w14:paraId="38AA289A" w14:textId="2944DE16"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Former president of the Royal College of Psychiatrists Andrew Sims offers another interesting perspective:</w:t>
      </w:r>
    </w:p>
    <w:p w14:paraId="72E45CD5" w14:textId="77777777" w:rsidR="00557093" w:rsidRPr="00557093" w:rsidRDefault="00557093" w:rsidP="00557093">
      <w:pPr>
        <w:ind w:firstLine="720"/>
        <w:rPr>
          <w:rFonts w:ascii="Palatino Linotype" w:hAnsi="Palatino Linotype"/>
          <w:sz w:val="24"/>
          <w:szCs w:val="24"/>
        </w:rPr>
      </w:pPr>
    </w:p>
    <w:p w14:paraId="3DCA3CC2" w14:textId="65A96ACD" w:rsidR="00557093" w:rsidRPr="00557093" w:rsidRDefault="00557093" w:rsidP="00557093">
      <w:pPr>
        <w:ind w:left="720"/>
        <w:rPr>
          <w:rFonts w:ascii="Palatino Linotype" w:hAnsi="Palatino Linotype"/>
          <w:sz w:val="24"/>
          <w:szCs w:val="24"/>
        </w:rPr>
      </w:pPr>
      <w:r w:rsidRPr="00557093">
        <w:rPr>
          <w:rFonts w:ascii="Palatino Linotype" w:hAnsi="Palatino Linotype"/>
          <w:sz w:val="24"/>
          <w:szCs w:val="24"/>
        </w:rPr>
        <w:t>The advantageous effect of religious belief [Christianity] and spirituality on mental and physical health is one of the best-kept secrets in psychiatry and medicine generally. If the findings of the huge volume of research on this topic had gone in the opposite direction and it had been found that religion damages your mental health, it would have been front-page news in every newspaper in the land!</w:t>
      </w:r>
      <w:r w:rsidR="00B107A3">
        <w:rPr>
          <w:rStyle w:val="FootnoteReference"/>
          <w:rFonts w:ascii="Palatino Linotype" w:hAnsi="Palatino Linotype"/>
          <w:sz w:val="24"/>
          <w:szCs w:val="24"/>
        </w:rPr>
        <w:footnoteReference w:id="253"/>
      </w:r>
    </w:p>
    <w:p w14:paraId="223E9835" w14:textId="77777777" w:rsidR="00557093" w:rsidRDefault="00557093" w:rsidP="00557093">
      <w:pPr>
        <w:ind w:firstLine="720"/>
        <w:rPr>
          <w:rFonts w:ascii="Palatino Linotype" w:hAnsi="Palatino Linotype"/>
          <w:sz w:val="24"/>
          <w:szCs w:val="24"/>
        </w:rPr>
      </w:pPr>
    </w:p>
    <w:p w14:paraId="1289AF2D" w14:textId="327F1C70"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 xml:space="preserve">If metaphysical empathetic relationships and faith are well known to help souls and to positively alter the body, then why would physicians prescribe toxic drugs that attack the healthy function of the nervous system in order to produce a therapeutic effect that is less helpful than empathetic discipleship? The answer is simply that not prescribing drugs that are phenomenologically labeled as medicines would expose the </w:t>
      </w:r>
      <w:r w:rsidRPr="00557093">
        <w:rPr>
          <w:rFonts w:ascii="Palatino Linotype" w:hAnsi="Palatino Linotype"/>
          <w:sz w:val="24"/>
          <w:szCs w:val="24"/>
        </w:rPr>
        <w:lastRenderedPageBreak/>
        <w:t>Medical Model to be a myth, since organic treatments—even if they are known to be destructive—are vital to sustain the narrative that medicine and science will deliver humanity from all of its trouble. One only needs to observe the significance and history of the false chemical imbalance theory—once crucial to the Medical Model’s acceptance—to understand how vital drugs are to maintaining the façade of being valid medicine.</w:t>
      </w:r>
      <w:r w:rsidR="00B107A3">
        <w:rPr>
          <w:rStyle w:val="FootnoteReference"/>
          <w:rFonts w:ascii="Palatino Linotype" w:hAnsi="Palatino Linotype"/>
          <w:sz w:val="24"/>
          <w:szCs w:val="24"/>
        </w:rPr>
        <w:footnoteReference w:id="254"/>
      </w:r>
    </w:p>
    <w:p w14:paraId="08C18588" w14:textId="77777777" w:rsidR="00557093" w:rsidRDefault="00557093" w:rsidP="00557093">
      <w:pPr>
        <w:ind w:firstLine="720"/>
        <w:rPr>
          <w:rFonts w:ascii="Palatino Linotype" w:hAnsi="Palatino Linotype"/>
          <w:sz w:val="24"/>
          <w:szCs w:val="24"/>
        </w:rPr>
      </w:pPr>
    </w:p>
    <w:p w14:paraId="0D23AA37" w14:textId="5B61DC58"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The history of psychiatry, which largely created and still controls and perpetuates the Medical Model, illuminates how the marketed medical basis of the bio-psycho-social worldview is a myth. Because a medical procedure that treats the soul has never existed, the history of psychiatry’s various attempts to medically treat the metaphysical soul with biological remedies is essentially one of failure, not one of advancement. More significant still, as former APA president Jeffrey Lieberman discloses, the list of historic failed biological attempts</w:t>
      </w:r>
      <w:r>
        <w:rPr>
          <w:rFonts w:ascii="Palatino Linotype" w:hAnsi="Palatino Linotype"/>
          <w:sz w:val="24"/>
          <w:szCs w:val="24"/>
        </w:rPr>
        <w:t xml:space="preserve"> </w:t>
      </w:r>
      <w:r w:rsidRPr="00557093">
        <w:rPr>
          <w:rFonts w:ascii="Palatino Linotype" w:hAnsi="Palatino Linotype"/>
          <w:sz w:val="24"/>
          <w:szCs w:val="24"/>
        </w:rPr>
        <w:t>corresponds with the highly regarded names in psychiatry’s history:</w:t>
      </w:r>
    </w:p>
    <w:p w14:paraId="2C45C9F0" w14:textId="77777777" w:rsidR="00557093" w:rsidRPr="00557093" w:rsidRDefault="00557093" w:rsidP="00557093">
      <w:pPr>
        <w:ind w:firstLine="720"/>
        <w:rPr>
          <w:rFonts w:ascii="Palatino Linotype" w:hAnsi="Palatino Linotype"/>
          <w:sz w:val="24"/>
          <w:szCs w:val="24"/>
        </w:rPr>
      </w:pPr>
    </w:p>
    <w:p w14:paraId="0C60C8C2" w14:textId="7E0520B5" w:rsidR="00557093" w:rsidRPr="00557093" w:rsidRDefault="00557093" w:rsidP="00557093">
      <w:pPr>
        <w:ind w:left="720"/>
        <w:rPr>
          <w:rFonts w:ascii="Palatino Linotype" w:hAnsi="Palatino Linotype"/>
          <w:sz w:val="24"/>
          <w:szCs w:val="24"/>
        </w:rPr>
      </w:pPr>
      <w:r w:rsidRPr="00557093">
        <w:rPr>
          <w:rFonts w:ascii="Palatino Linotype" w:hAnsi="Palatino Linotype"/>
          <w:sz w:val="24"/>
          <w:szCs w:val="24"/>
        </w:rPr>
        <w:t>Many of the most prominent names in the annals of psychiatry are better known for the dubiousness of their treatments than the good they achieved, despite their mostly charitable intentions: Franz Mesmer’s animal magnetism, Benjamin Rush’s “Billious Pills,” Julious Wagner-Jauregg’s malaria therapy, Manfred Sakel’s insulin shock therapy, Neil Macleod’s deep sleep therapy, Walter Freeman’s lobotomies, Melanie Klein’s sexual orientation conversion therapy, and R.D. Laing’s existential psychiatry. I’m sorry to say that much of the responsibility for this state of affairs rests squarely on my profession.</w:t>
      </w:r>
      <w:r w:rsidR="00B107A3">
        <w:rPr>
          <w:rStyle w:val="FootnoteReference"/>
          <w:rFonts w:ascii="Palatino Linotype" w:hAnsi="Palatino Linotype"/>
          <w:sz w:val="24"/>
          <w:szCs w:val="24"/>
        </w:rPr>
        <w:footnoteReference w:id="255"/>
      </w:r>
    </w:p>
    <w:p w14:paraId="76E7D8F6" w14:textId="77777777" w:rsidR="00557093" w:rsidRDefault="00557093" w:rsidP="00557093">
      <w:pPr>
        <w:ind w:firstLine="720"/>
        <w:rPr>
          <w:rFonts w:ascii="Palatino Linotype" w:hAnsi="Palatino Linotype"/>
          <w:sz w:val="24"/>
          <w:szCs w:val="24"/>
        </w:rPr>
      </w:pPr>
    </w:p>
    <w:p w14:paraId="78027721" w14:textId="544F07B7"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The primary reason that these men were influential and now revered was that, based upon their suggested biological theory and corresponding new “medical treatment,” the field of psychiatry was said to be scientifically advancing as a valid branch of medicine. The historic psychiatric procedures sometimes did eliminate symptoms, but left patients with permanent damage. Neurosurgeon Elliot Valenstein imparts,</w:t>
      </w:r>
    </w:p>
    <w:p w14:paraId="11A11B79" w14:textId="77777777" w:rsidR="00557093" w:rsidRPr="00557093" w:rsidRDefault="00557093" w:rsidP="00557093">
      <w:pPr>
        <w:ind w:firstLine="720"/>
        <w:rPr>
          <w:rFonts w:ascii="Palatino Linotype" w:hAnsi="Palatino Linotype"/>
          <w:sz w:val="24"/>
          <w:szCs w:val="24"/>
        </w:rPr>
      </w:pPr>
    </w:p>
    <w:p w14:paraId="6CA7B105" w14:textId="5C7021A8" w:rsidR="00557093" w:rsidRPr="00557093" w:rsidRDefault="00557093" w:rsidP="00557093">
      <w:pPr>
        <w:ind w:left="720"/>
        <w:rPr>
          <w:rFonts w:ascii="Palatino Linotype" w:hAnsi="Palatino Linotype"/>
          <w:sz w:val="24"/>
          <w:szCs w:val="24"/>
        </w:rPr>
      </w:pPr>
      <w:r w:rsidRPr="00557093">
        <w:rPr>
          <w:rFonts w:ascii="Palatino Linotype" w:hAnsi="Palatino Linotype"/>
          <w:sz w:val="24"/>
          <w:szCs w:val="24"/>
        </w:rPr>
        <w:t xml:space="preserve">The history of medicine is rife with examples of treatments that alleviated the symptoms of an illness without addressing its cause. Prefrontal lobotomy, insulin coma, and other treatments that are now totally rejected were claimed, in their time, to be just as effective in treating mental illnesses as it is now claimed </w:t>
      </w:r>
      <w:r w:rsidRPr="00557093">
        <w:rPr>
          <w:rFonts w:ascii="Palatino Linotype" w:hAnsi="Palatino Linotype"/>
          <w:sz w:val="24"/>
          <w:szCs w:val="24"/>
        </w:rPr>
        <w:lastRenderedPageBreak/>
        <w:t>that drug treatment is.</w:t>
      </w:r>
      <w:r w:rsidR="00B107A3">
        <w:rPr>
          <w:rStyle w:val="FootnoteReference"/>
          <w:rFonts w:ascii="Palatino Linotype" w:hAnsi="Palatino Linotype"/>
          <w:sz w:val="24"/>
          <w:szCs w:val="24"/>
        </w:rPr>
        <w:footnoteReference w:id="256"/>
      </w:r>
    </w:p>
    <w:p w14:paraId="0D9DA11C" w14:textId="77777777" w:rsidR="00557093" w:rsidRDefault="00557093" w:rsidP="00557093">
      <w:pPr>
        <w:ind w:firstLine="720"/>
        <w:rPr>
          <w:rFonts w:ascii="Palatino Linotype" w:hAnsi="Palatino Linotype"/>
          <w:sz w:val="24"/>
          <w:szCs w:val="24"/>
        </w:rPr>
      </w:pPr>
    </w:p>
    <w:p w14:paraId="783EF244" w14:textId="377B3B45" w:rsidR="00557093" w:rsidRDefault="00557093" w:rsidP="00557093">
      <w:pPr>
        <w:ind w:firstLine="720"/>
        <w:rPr>
          <w:rFonts w:ascii="Palatino Linotype" w:hAnsi="Palatino Linotype"/>
          <w:sz w:val="24"/>
          <w:szCs w:val="24"/>
        </w:rPr>
      </w:pPr>
      <w:r w:rsidRPr="00557093">
        <w:rPr>
          <w:rFonts w:ascii="Palatino Linotype" w:hAnsi="Palatino Linotype"/>
          <w:sz w:val="24"/>
          <w:szCs w:val="24"/>
        </w:rPr>
        <w:t xml:space="preserve">The </w:t>
      </w:r>
      <w:r w:rsidRPr="00557093">
        <w:rPr>
          <w:rFonts w:ascii="Palatino Linotype" w:hAnsi="Palatino Linotype"/>
          <w:i/>
          <w:sz w:val="24"/>
          <w:szCs w:val="24"/>
        </w:rPr>
        <w:t xml:space="preserve">Textbook of Biological Psychiatry </w:t>
      </w:r>
      <w:r w:rsidRPr="00557093">
        <w:rPr>
          <w:rFonts w:ascii="Palatino Linotype" w:hAnsi="Palatino Linotype"/>
          <w:sz w:val="24"/>
          <w:szCs w:val="24"/>
        </w:rPr>
        <w:t>also remarks on the dark history of approaching the soul through physical medicine:</w:t>
      </w:r>
    </w:p>
    <w:p w14:paraId="446A88E1" w14:textId="77777777" w:rsidR="00557093" w:rsidRPr="00557093" w:rsidRDefault="00557093" w:rsidP="00557093">
      <w:pPr>
        <w:ind w:firstLine="720"/>
        <w:rPr>
          <w:rFonts w:ascii="Palatino Linotype" w:hAnsi="Palatino Linotype"/>
          <w:sz w:val="24"/>
          <w:szCs w:val="24"/>
        </w:rPr>
      </w:pPr>
    </w:p>
    <w:p w14:paraId="537BCBE8" w14:textId="78FE76B4" w:rsidR="00557093" w:rsidRPr="00557093" w:rsidRDefault="00557093" w:rsidP="00557093">
      <w:pPr>
        <w:ind w:left="720"/>
        <w:rPr>
          <w:rFonts w:ascii="Palatino Linotype" w:hAnsi="Palatino Linotype"/>
          <w:sz w:val="24"/>
          <w:szCs w:val="24"/>
        </w:rPr>
      </w:pPr>
      <w:r w:rsidRPr="00557093">
        <w:rPr>
          <w:rFonts w:ascii="Palatino Linotype" w:hAnsi="Palatino Linotype"/>
          <w:sz w:val="24"/>
          <w:szCs w:val="24"/>
        </w:rPr>
        <w:t>Over the ages the many attempts to treat mental illness have included physical and medicinal measures: purging, hydrotherapy, galvanic stimulation, and many other strange interventions, in the belief that doing something to the body would exercise mental illness.</w:t>
      </w:r>
      <w:r w:rsidR="00B107A3">
        <w:rPr>
          <w:rStyle w:val="FootnoteReference"/>
          <w:rFonts w:ascii="Palatino Linotype" w:hAnsi="Palatino Linotype"/>
          <w:sz w:val="24"/>
          <w:szCs w:val="24"/>
        </w:rPr>
        <w:footnoteReference w:id="257"/>
      </w:r>
    </w:p>
    <w:p w14:paraId="20240048" w14:textId="77777777" w:rsidR="00557093" w:rsidRDefault="00557093" w:rsidP="00557093">
      <w:pPr>
        <w:ind w:firstLine="720"/>
        <w:rPr>
          <w:rFonts w:ascii="Palatino Linotype" w:hAnsi="Palatino Linotype"/>
          <w:sz w:val="24"/>
          <w:szCs w:val="24"/>
        </w:rPr>
      </w:pPr>
    </w:p>
    <w:p w14:paraId="4F4A6C2E" w14:textId="733A56E2"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Today’s version of the Medical Model and its dominant treatments remain virtually unchanged in theory, as the current “scientific model” and corresponding biological treatments do not heal the soul or body.</w:t>
      </w:r>
    </w:p>
    <w:p w14:paraId="3A447894" w14:textId="77777777" w:rsidR="00557093" w:rsidRDefault="00557093" w:rsidP="00557093">
      <w:pPr>
        <w:ind w:firstLine="720"/>
        <w:rPr>
          <w:rFonts w:ascii="Palatino Linotype" w:hAnsi="Palatino Linotype"/>
          <w:sz w:val="24"/>
          <w:szCs w:val="24"/>
        </w:rPr>
      </w:pPr>
    </w:p>
    <w:p w14:paraId="4FA6B86C" w14:textId="7F7B8E14"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Though each historic psychiatric figure claimed that his biological approach to the soul was empirically driven, all of these theoretical approaches worked by destroying some healthy function of the body. In the case of Kraepelin and Rüdin, who are largely responsible for ushering in the Holocaust, their deplorable treatment plan was to sterilize and eliminate the classified “degenerates” to theoretically make Nazis feel better about themselves and to establish a standard of health based upon genetics. As psychiatrist Peter Breggin submits, it</w:t>
      </w:r>
      <w:r>
        <w:rPr>
          <w:rFonts w:ascii="Palatino Linotype" w:hAnsi="Palatino Linotype"/>
          <w:sz w:val="24"/>
          <w:szCs w:val="24"/>
        </w:rPr>
        <w:t xml:space="preserve"> </w:t>
      </w:r>
      <w:r w:rsidRPr="00557093">
        <w:rPr>
          <w:rFonts w:ascii="Palatino Linotype" w:hAnsi="Palatino Linotype"/>
          <w:sz w:val="24"/>
          <w:szCs w:val="24"/>
        </w:rPr>
        <w:t>was Kraepelin’s psychiatric eugenic (genetic) theory which led to and empowered leaders of the Holocaust under psychiatrists like Ernst Rüdin and Franz Joseph Kallmann:</w:t>
      </w:r>
    </w:p>
    <w:p w14:paraId="49FDDE60" w14:textId="77777777" w:rsidR="00557093" w:rsidRPr="00557093" w:rsidRDefault="00557093" w:rsidP="00557093">
      <w:pPr>
        <w:ind w:firstLine="720"/>
        <w:rPr>
          <w:rFonts w:ascii="Palatino Linotype" w:hAnsi="Palatino Linotype"/>
          <w:sz w:val="24"/>
          <w:szCs w:val="24"/>
        </w:rPr>
      </w:pPr>
    </w:p>
    <w:p w14:paraId="2B48EC3B" w14:textId="753137E3" w:rsidR="00557093" w:rsidRPr="00557093" w:rsidRDefault="00557093" w:rsidP="00557093">
      <w:pPr>
        <w:ind w:left="720"/>
        <w:rPr>
          <w:rFonts w:ascii="Palatino Linotype" w:hAnsi="Palatino Linotype"/>
          <w:sz w:val="24"/>
          <w:szCs w:val="24"/>
        </w:rPr>
      </w:pPr>
      <w:r w:rsidRPr="00557093">
        <w:rPr>
          <w:rFonts w:ascii="Palatino Linotype" w:hAnsi="Palatino Linotype"/>
          <w:sz w:val="24"/>
          <w:szCs w:val="24"/>
        </w:rPr>
        <w:t>It seems necessary to conclude that the inherent, basic principles of psychiatry were not only consistent with Nazi totalitarian and racist aims, but anticipated, encouraged and paved the way for Hitler’s eugenical and euthanasia programs. Without psychiatry, the holocaust would probably not have taken place.</w:t>
      </w:r>
      <w:r w:rsidR="00B107A3">
        <w:rPr>
          <w:rStyle w:val="FootnoteReference"/>
          <w:rFonts w:ascii="Palatino Linotype" w:hAnsi="Palatino Linotype"/>
          <w:sz w:val="24"/>
          <w:szCs w:val="24"/>
        </w:rPr>
        <w:footnoteReference w:id="258"/>
      </w:r>
    </w:p>
    <w:p w14:paraId="11A98DE1" w14:textId="77777777" w:rsidR="00557093" w:rsidRDefault="00557093" w:rsidP="00557093">
      <w:pPr>
        <w:ind w:firstLine="720"/>
        <w:rPr>
          <w:rFonts w:ascii="Palatino Linotype" w:hAnsi="Palatino Linotype"/>
          <w:sz w:val="24"/>
          <w:szCs w:val="24"/>
        </w:rPr>
      </w:pPr>
    </w:p>
    <w:p w14:paraId="279B67BB" w14:textId="0AF13D80"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Today’s theory of psychopharmacology is part of the much bigger “mental hygiene” program of the eugenicist Emil Kraepelin, now called “mental health”:</w:t>
      </w:r>
      <w:r w:rsidR="00B107A3">
        <w:rPr>
          <w:rStyle w:val="FootnoteReference"/>
          <w:rFonts w:ascii="Palatino Linotype" w:hAnsi="Palatino Linotype"/>
          <w:sz w:val="24"/>
          <w:szCs w:val="24"/>
        </w:rPr>
        <w:footnoteReference w:id="259"/>
      </w:r>
    </w:p>
    <w:p w14:paraId="0FE731AD" w14:textId="77777777" w:rsidR="00557093" w:rsidRPr="00557093" w:rsidRDefault="00557093" w:rsidP="00557093">
      <w:pPr>
        <w:ind w:firstLine="720"/>
        <w:rPr>
          <w:rFonts w:ascii="Palatino Linotype" w:hAnsi="Palatino Linotype"/>
          <w:sz w:val="24"/>
          <w:szCs w:val="24"/>
        </w:rPr>
      </w:pPr>
    </w:p>
    <w:p w14:paraId="33696AED" w14:textId="05AB603A" w:rsidR="00557093" w:rsidRPr="00557093" w:rsidRDefault="00557093" w:rsidP="00557093">
      <w:pPr>
        <w:ind w:left="720"/>
        <w:rPr>
          <w:rFonts w:ascii="Palatino Linotype" w:hAnsi="Palatino Linotype"/>
          <w:sz w:val="24"/>
          <w:szCs w:val="24"/>
        </w:rPr>
      </w:pPr>
      <w:r w:rsidRPr="00557093">
        <w:rPr>
          <w:rFonts w:ascii="Palatino Linotype" w:hAnsi="Palatino Linotype"/>
          <w:sz w:val="24"/>
          <w:szCs w:val="24"/>
        </w:rPr>
        <w:t xml:space="preserve">The early history of cognitive psychopharmacology, originally labelled as </w:t>
      </w:r>
      <w:r w:rsidRPr="00557093">
        <w:rPr>
          <w:rFonts w:ascii="Palatino Linotype" w:hAnsi="Palatino Linotype"/>
          <w:sz w:val="24"/>
          <w:szCs w:val="24"/>
        </w:rPr>
        <w:lastRenderedPageBreak/>
        <w:t>“pharmacopsychology”, is closely linked to developments in experimental psychology and academic psychiatry. At the beginning of his scientific career, the German psychiatrist Emil Kraepelin (1856-1926) joined Wilhelm Wundt’s laboratory of experimental psychology at the University of Leipzig. Although Kraepelin was fired from his clinical position at the university’s psychiatric hospital, he completed his habilitation, the German equivalent of Ph.D., and started a series of pharmacological investigations in healthy volunteers using common recreational drugs (alcohol, coffee, tea) or medicinal products (amyl nitrite, chloral hydrate, chloroform, ethyl ether, morphine, paraldehyde) together with innovative psychological tasks. . . . Kraepelin’s contributions to psychopharmacology and clinical neuropsychology were far ahead of his time and his conceptual achievements have been largely neglected by modern psychiatry and cognitive neuroscience.</w:t>
      </w:r>
      <w:r w:rsidR="00B107A3">
        <w:rPr>
          <w:rStyle w:val="FootnoteReference"/>
          <w:rFonts w:ascii="Palatino Linotype" w:hAnsi="Palatino Linotype"/>
          <w:sz w:val="24"/>
          <w:szCs w:val="24"/>
        </w:rPr>
        <w:footnoteReference w:id="260"/>
      </w:r>
    </w:p>
    <w:p w14:paraId="20E0D78E" w14:textId="77777777" w:rsidR="00557093" w:rsidRDefault="00557093" w:rsidP="00557093">
      <w:pPr>
        <w:ind w:firstLine="720"/>
        <w:rPr>
          <w:rFonts w:ascii="Palatino Linotype" w:hAnsi="Palatino Linotype"/>
          <w:sz w:val="24"/>
          <w:szCs w:val="24"/>
        </w:rPr>
      </w:pPr>
    </w:p>
    <w:p w14:paraId="6E37DEF6" w14:textId="19EB7893"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“Mental health” is another popular way to promote the Medical Model, and psychopharmacology is another entry in the growing list of failed attempts to treat the soul with biological approaches. As professor of psychiatry Sharon Packer notes, “Much of yesterday’s science becomes tomorrow’s superstition, and the scientific scruples of one generation may be repugnant to later generations.”</w:t>
      </w:r>
      <w:r w:rsidR="00B107A3">
        <w:rPr>
          <w:rStyle w:val="FootnoteReference"/>
          <w:rFonts w:ascii="Palatino Linotype" w:hAnsi="Palatino Linotype"/>
          <w:sz w:val="24"/>
          <w:szCs w:val="24"/>
        </w:rPr>
        <w:footnoteReference w:id="261"/>
      </w:r>
      <w:r w:rsidRPr="00557093">
        <w:rPr>
          <w:rFonts w:ascii="Palatino Linotype" w:hAnsi="Palatino Linotype"/>
          <w:sz w:val="24"/>
          <w:szCs w:val="24"/>
        </w:rPr>
        <w:t xml:space="preserve"> Just as with all other “scientific breakthroughs” that allegedly treat the soul with biological solutions, Emil Kraepelin’s </w:t>
      </w:r>
      <w:r w:rsidRPr="00557093">
        <w:rPr>
          <w:rFonts w:ascii="Palatino Linotype" w:hAnsi="Palatino Linotype"/>
          <w:i/>
          <w:sz w:val="24"/>
          <w:szCs w:val="24"/>
        </w:rPr>
        <w:t xml:space="preserve">pharmacopsychology </w:t>
      </w:r>
      <w:r w:rsidRPr="00557093">
        <w:rPr>
          <w:rFonts w:ascii="Palatino Linotype" w:hAnsi="Palatino Linotype"/>
          <w:sz w:val="24"/>
          <w:szCs w:val="24"/>
        </w:rPr>
        <w:t>will someday be added to the failed list of attempts, and its many horrors, which clinicians are beginning to more openly acknowledge and criticize, will be more fully known within society.</w:t>
      </w:r>
    </w:p>
    <w:p w14:paraId="364B37BE" w14:textId="77777777" w:rsidR="00557093" w:rsidRDefault="00557093" w:rsidP="00557093">
      <w:pPr>
        <w:rPr>
          <w:rFonts w:ascii="Palatino Linotype" w:hAnsi="Palatino Linotype"/>
          <w:sz w:val="24"/>
          <w:szCs w:val="24"/>
        </w:rPr>
      </w:pPr>
    </w:p>
    <w:p w14:paraId="6142C608" w14:textId="4EE7D005"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While Emil Kraepelin “pioneered the field of psychopharmacological research”</w:t>
      </w:r>
      <w:r w:rsidR="00F505E9">
        <w:rPr>
          <w:rStyle w:val="FootnoteReference"/>
          <w:rFonts w:ascii="Palatino Linotype" w:hAnsi="Palatino Linotype"/>
          <w:sz w:val="24"/>
          <w:szCs w:val="24"/>
        </w:rPr>
        <w:footnoteReference w:id="262"/>
      </w:r>
      <w:r w:rsidRPr="00557093">
        <w:rPr>
          <w:rFonts w:ascii="Palatino Linotype" w:hAnsi="Palatino Linotype"/>
          <w:sz w:val="24"/>
          <w:szCs w:val="24"/>
        </w:rPr>
        <w:t xml:space="preserve"> and turned Benjamin Rush’s conjecture into a seemingly scientific field complete with phenomenological disorders that provided clinicians with the utilization of it, no one’s soul has ever been restored from any medical procedure. Rather, individuals and societies in which the Medical Model is introduced all consistently worsen. Despite this sobering truth, psychopharmacology has been widely accepted as the best available “treatment” for the soul’s destructive and distressful human phenomena.</w:t>
      </w:r>
    </w:p>
    <w:p w14:paraId="1A720E63" w14:textId="77777777" w:rsidR="00557093" w:rsidRDefault="00557093" w:rsidP="00557093">
      <w:pPr>
        <w:ind w:firstLine="720"/>
        <w:rPr>
          <w:rFonts w:ascii="Palatino Linotype" w:hAnsi="Palatino Linotype"/>
          <w:sz w:val="24"/>
          <w:szCs w:val="24"/>
        </w:rPr>
      </w:pPr>
    </w:p>
    <w:p w14:paraId="59B40276" w14:textId="6D284D7E"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It is no secret why psychiatry must cling to psychopharmacology, since it has in many ways become the dominant concept of the Medical Model itself. The influential Nassir Ghaemi conveys this reality, “I suggest that the psychopharmacology revolution laid the groundwork for the neo-Kraepelinian restoration.</w:t>
      </w:r>
      <w:r w:rsidR="0025710A">
        <w:rPr>
          <w:rStyle w:val="FootnoteReference"/>
          <w:rFonts w:ascii="Palatino Linotype" w:hAnsi="Palatino Linotype"/>
          <w:sz w:val="24"/>
          <w:szCs w:val="24"/>
        </w:rPr>
        <w:footnoteReference w:id="263"/>
      </w:r>
      <w:r w:rsidRPr="00557093">
        <w:rPr>
          <w:rFonts w:ascii="Palatino Linotype" w:hAnsi="Palatino Linotype"/>
          <w:sz w:val="24"/>
          <w:szCs w:val="24"/>
        </w:rPr>
        <w:t xml:space="preserve"> Without licensed physicians and prescribed “medicines,” there is no Medical Model. Psychiatrist Awais Aftab comments on this well-known fact:</w:t>
      </w:r>
    </w:p>
    <w:p w14:paraId="69CF55BC" w14:textId="77777777" w:rsidR="00557093" w:rsidRPr="00557093" w:rsidRDefault="00557093" w:rsidP="00557093">
      <w:pPr>
        <w:ind w:firstLine="720"/>
        <w:rPr>
          <w:rFonts w:ascii="Palatino Linotype" w:hAnsi="Palatino Linotype"/>
          <w:sz w:val="24"/>
          <w:szCs w:val="24"/>
        </w:rPr>
      </w:pPr>
    </w:p>
    <w:p w14:paraId="52190A94" w14:textId="11EE46E2" w:rsidR="00557093" w:rsidRPr="00557093" w:rsidRDefault="00557093" w:rsidP="00557093">
      <w:pPr>
        <w:ind w:left="720"/>
        <w:rPr>
          <w:rFonts w:ascii="Palatino Linotype" w:hAnsi="Palatino Linotype"/>
          <w:sz w:val="24"/>
          <w:szCs w:val="24"/>
        </w:rPr>
      </w:pPr>
      <w:r w:rsidRPr="00557093">
        <w:rPr>
          <w:rFonts w:ascii="Palatino Linotype" w:hAnsi="Palatino Linotype"/>
          <w:sz w:val="24"/>
          <w:szCs w:val="24"/>
        </w:rPr>
        <w:t>Setting aside the issues about medical model for now, I do not think it is particularly controversial to say that psychiatry is a branch of medicine in the sense that individuals who practice psychiatry are physicians by training and this training includes, among other things, expertise in the use of psychotropic medications in the treatment of psychiatric conditions.</w:t>
      </w:r>
      <w:r w:rsidR="0025710A">
        <w:rPr>
          <w:rStyle w:val="FootnoteReference"/>
          <w:rFonts w:ascii="Palatino Linotype" w:hAnsi="Palatino Linotype"/>
          <w:sz w:val="24"/>
          <w:szCs w:val="24"/>
        </w:rPr>
        <w:footnoteReference w:id="264"/>
      </w:r>
    </w:p>
    <w:p w14:paraId="769949BA" w14:textId="77777777" w:rsidR="00557093" w:rsidRDefault="00557093" w:rsidP="00557093">
      <w:pPr>
        <w:ind w:firstLine="720"/>
        <w:rPr>
          <w:rFonts w:ascii="Palatino Linotype" w:hAnsi="Palatino Linotype"/>
          <w:sz w:val="24"/>
          <w:szCs w:val="24"/>
        </w:rPr>
      </w:pPr>
    </w:p>
    <w:p w14:paraId="25B79E38" w14:textId="0E50FFDC"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Psychopharmacology has seen one of the longest periods of acceptance of any proposed biological treatment for the soul, has received the most extensive research, and has been the recipient of more financial investments throughout its history than any other alleged biological treatment. Though these drugs are consistently touted as “scientific breakthroughs,” “landmark drugs,” and the best available approach to human struggles and distress,</w:t>
      </w:r>
      <w:r w:rsidR="0072388D">
        <w:rPr>
          <w:rStyle w:val="FootnoteReference"/>
          <w:rFonts w:ascii="Palatino Linotype" w:hAnsi="Palatino Linotype"/>
          <w:sz w:val="24"/>
          <w:szCs w:val="24"/>
        </w:rPr>
        <w:footnoteReference w:id="265"/>
      </w:r>
      <w:r w:rsidRPr="00557093">
        <w:rPr>
          <w:rFonts w:ascii="Palatino Linotype" w:hAnsi="Palatino Linotype"/>
          <w:sz w:val="24"/>
          <w:szCs w:val="24"/>
        </w:rPr>
        <w:t xml:space="preserve"> there still does not exist a chemical mechanism in any class of psychotropic drug that restores the soul to health or medically treats the metaphysical reality of human nature. These chemicals can only provide a therapeutic effect that is the result of a person’s being unnaturally drugged into an abnormal state. Rather than providing a healing phenomenology, these drugs alter the mind’s executive control so that an individual’s consciousness is suppressed or transcended—depending upon the mechanism of the class of drug consumed—rather than being healed.</w:t>
      </w:r>
    </w:p>
    <w:p w14:paraId="46E49990" w14:textId="77777777" w:rsidR="00557093" w:rsidRDefault="00557093" w:rsidP="00557093">
      <w:pPr>
        <w:ind w:firstLine="720"/>
        <w:rPr>
          <w:rFonts w:ascii="Palatino Linotype" w:hAnsi="Palatino Linotype"/>
          <w:sz w:val="24"/>
          <w:szCs w:val="24"/>
        </w:rPr>
      </w:pPr>
    </w:p>
    <w:p w14:paraId="2D1B5631" w14:textId="7A333035" w:rsidR="00557093" w:rsidRPr="00557093" w:rsidRDefault="00557093" w:rsidP="003746A6">
      <w:pPr>
        <w:ind w:firstLine="720"/>
        <w:rPr>
          <w:rFonts w:ascii="Palatino Linotype" w:hAnsi="Palatino Linotype"/>
          <w:sz w:val="24"/>
          <w:szCs w:val="24"/>
        </w:rPr>
      </w:pPr>
      <w:r w:rsidRPr="00557093">
        <w:rPr>
          <w:rFonts w:ascii="Palatino Linotype" w:hAnsi="Palatino Linotype"/>
          <w:sz w:val="24"/>
          <w:szCs w:val="24"/>
        </w:rPr>
        <w:t>Glancing behind the curtain of public knowledge, it becomes evident that countless psychiatrists have begun to speak out against how these drugs do not restore health but regularly worsen both the spiritual and physical natures of humanity, which the undeniable accrued evidence has proved. For example, psychiatrist Giovanni Fava, considering evidence</w:t>
      </w:r>
      <w:r w:rsidR="003746A6">
        <w:rPr>
          <w:rFonts w:ascii="Palatino Linotype" w:hAnsi="Palatino Linotype"/>
          <w:sz w:val="24"/>
          <w:szCs w:val="24"/>
        </w:rPr>
        <w:t xml:space="preserve"> </w:t>
      </w:r>
      <w:r w:rsidRPr="00557093">
        <w:rPr>
          <w:rFonts w:ascii="Palatino Linotype" w:hAnsi="Palatino Linotype"/>
          <w:sz w:val="24"/>
          <w:szCs w:val="24"/>
        </w:rPr>
        <w:t>from the STAR*D trials, reveals that psychopharmacology may be worsening the inner turmoil of the soul rather than helping it:</w:t>
      </w:r>
    </w:p>
    <w:p w14:paraId="0CC66AEC" w14:textId="77777777" w:rsidR="00557093" w:rsidRPr="00557093" w:rsidRDefault="00557093" w:rsidP="00557093">
      <w:pPr>
        <w:ind w:firstLine="720"/>
        <w:rPr>
          <w:rFonts w:ascii="Palatino Linotype" w:hAnsi="Palatino Linotype"/>
          <w:sz w:val="24"/>
          <w:szCs w:val="24"/>
        </w:rPr>
      </w:pPr>
    </w:p>
    <w:p w14:paraId="3300A066" w14:textId="163D951A" w:rsidR="00557093" w:rsidRPr="00557093" w:rsidRDefault="00557093" w:rsidP="003746A6">
      <w:pPr>
        <w:ind w:left="720"/>
        <w:rPr>
          <w:rFonts w:ascii="Palatino Linotype" w:hAnsi="Palatino Linotype"/>
          <w:sz w:val="24"/>
          <w:szCs w:val="24"/>
        </w:rPr>
      </w:pPr>
      <w:r w:rsidRPr="00557093">
        <w:rPr>
          <w:rFonts w:ascii="Palatino Linotype" w:hAnsi="Palatino Linotype"/>
          <w:sz w:val="24"/>
          <w:szCs w:val="24"/>
        </w:rPr>
        <w:lastRenderedPageBreak/>
        <w:t>In the long run, antidepressants may increase chronicity, vulnerability to depressive disorders, and comorbidity. There is now extensive literature supporting this mechanism. In practice, you may encounter patients whose symptoms have been treated with a number of psychotropic drugs, particularly in combination, and who end up as in the STAR*D. What to do is a big problem. You can blame the illness and the patient, it is easy, but you should also think iatrogenic [harm caused by the drug itself].</w:t>
      </w:r>
      <w:r w:rsidR="00FC044A">
        <w:rPr>
          <w:rStyle w:val="FootnoteReference"/>
          <w:rFonts w:ascii="Palatino Linotype" w:hAnsi="Palatino Linotype"/>
          <w:sz w:val="24"/>
          <w:szCs w:val="24"/>
        </w:rPr>
        <w:footnoteReference w:id="266"/>
      </w:r>
    </w:p>
    <w:p w14:paraId="16F5FBB9" w14:textId="77777777" w:rsidR="003746A6" w:rsidRDefault="003746A6" w:rsidP="00557093">
      <w:pPr>
        <w:ind w:firstLine="720"/>
        <w:rPr>
          <w:rFonts w:ascii="Palatino Linotype" w:hAnsi="Palatino Linotype"/>
          <w:sz w:val="24"/>
          <w:szCs w:val="24"/>
        </w:rPr>
      </w:pPr>
    </w:p>
    <w:p w14:paraId="3A163987" w14:textId="18CD4C54"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Numerous other studies show how the body itself is being harmed by the consumption of these dangerous drugs:</w:t>
      </w:r>
    </w:p>
    <w:p w14:paraId="01A9CD08" w14:textId="77777777" w:rsidR="00557093" w:rsidRPr="00557093" w:rsidRDefault="00557093" w:rsidP="00557093">
      <w:pPr>
        <w:ind w:firstLine="720"/>
        <w:rPr>
          <w:rFonts w:ascii="Palatino Linotype" w:hAnsi="Palatino Linotype"/>
          <w:sz w:val="24"/>
          <w:szCs w:val="24"/>
        </w:rPr>
      </w:pPr>
    </w:p>
    <w:p w14:paraId="6A2B6F57" w14:textId="4055FB79" w:rsidR="00557093" w:rsidRPr="00557093" w:rsidRDefault="00557093" w:rsidP="003746A6">
      <w:pPr>
        <w:ind w:left="720"/>
        <w:rPr>
          <w:rFonts w:ascii="Palatino Linotype" w:hAnsi="Palatino Linotype"/>
          <w:sz w:val="24"/>
          <w:szCs w:val="24"/>
        </w:rPr>
      </w:pPr>
      <w:r w:rsidRPr="00557093">
        <w:rPr>
          <w:rFonts w:ascii="Palatino Linotype" w:hAnsi="Palatino Linotype"/>
          <w:sz w:val="24"/>
          <w:szCs w:val="24"/>
        </w:rPr>
        <w:t>Eighteen studies involving 1155 patients with schizophrenia and 911 healthy control subjects were included. Over time, patients with schizophrenia showed a significantly higher loss of total cortical GM volume. This was related to cumulative antipsychotic intake during the interval between scans in the whole study sample.</w:t>
      </w:r>
      <w:r w:rsidR="00FC044A">
        <w:rPr>
          <w:rStyle w:val="FootnoteReference"/>
          <w:rFonts w:ascii="Palatino Linotype" w:hAnsi="Palatino Linotype"/>
          <w:sz w:val="24"/>
          <w:szCs w:val="24"/>
        </w:rPr>
        <w:footnoteReference w:id="267"/>
      </w:r>
    </w:p>
    <w:p w14:paraId="3E58490A" w14:textId="77777777" w:rsidR="00A6220B" w:rsidRDefault="00A6220B" w:rsidP="00557093">
      <w:pPr>
        <w:ind w:firstLine="720"/>
        <w:rPr>
          <w:rFonts w:ascii="Palatino Linotype" w:hAnsi="Palatino Linotype"/>
          <w:sz w:val="24"/>
          <w:szCs w:val="24"/>
        </w:rPr>
      </w:pPr>
    </w:p>
    <w:p w14:paraId="1F5B48BB" w14:textId="46F19E72"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Psychiatrists Awais Aftab and Manu Sharma remark on how many of the alleged biomarkers (genetic and neurological) propagated as evidence for the validity of psychiatric constructs are actually the destructive effects of psychotropic drugs:</w:t>
      </w:r>
    </w:p>
    <w:p w14:paraId="0C01F0FF" w14:textId="77777777" w:rsidR="00557093" w:rsidRPr="00557093" w:rsidRDefault="00557093" w:rsidP="00557093">
      <w:pPr>
        <w:ind w:firstLine="720"/>
        <w:rPr>
          <w:rFonts w:ascii="Palatino Linotype" w:hAnsi="Palatino Linotype"/>
          <w:sz w:val="24"/>
          <w:szCs w:val="24"/>
        </w:rPr>
      </w:pPr>
    </w:p>
    <w:p w14:paraId="41872FEB" w14:textId="39206971" w:rsidR="00557093" w:rsidRPr="00557093" w:rsidRDefault="00557093" w:rsidP="00A8339D">
      <w:pPr>
        <w:ind w:left="720"/>
        <w:rPr>
          <w:rFonts w:ascii="Palatino Linotype" w:hAnsi="Palatino Linotype"/>
          <w:sz w:val="24"/>
          <w:szCs w:val="24"/>
        </w:rPr>
      </w:pPr>
      <w:r w:rsidRPr="00557093">
        <w:rPr>
          <w:rFonts w:ascii="Palatino Linotype" w:hAnsi="Palatino Linotype"/>
          <w:sz w:val="24"/>
          <w:szCs w:val="24"/>
        </w:rPr>
        <w:t>Most biomarker studies are conducted in medicated individuals; however, psychiatric medications have effects of their own on brain functioning, and it is quite possible that we may interpret a biomarker association as evidence of association with the disorder when in fact it may simply be an association with the biological effects of the intervention. Biomarkers in medicated patients therefore cannot simply be assumed to be related to the psychiatric disorder. As another example, reduced volume of brain matter and increased volume of ventricles (on average) in individuals with schizophrenia has been reported in multiple studies, but there has been increasing recognition that use of antipsychotic medications may contribute in part to this reduction of brain volume.</w:t>
      </w:r>
      <w:r w:rsidR="00FC044A">
        <w:rPr>
          <w:rStyle w:val="FootnoteReference"/>
          <w:rFonts w:ascii="Palatino Linotype" w:hAnsi="Palatino Linotype"/>
          <w:sz w:val="24"/>
          <w:szCs w:val="24"/>
        </w:rPr>
        <w:footnoteReference w:id="268"/>
      </w:r>
    </w:p>
    <w:p w14:paraId="5AB22F44" w14:textId="77777777" w:rsidR="00A8339D" w:rsidRDefault="00A8339D" w:rsidP="00557093">
      <w:pPr>
        <w:ind w:firstLine="720"/>
        <w:rPr>
          <w:rFonts w:ascii="Palatino Linotype" w:hAnsi="Palatino Linotype"/>
          <w:sz w:val="24"/>
          <w:szCs w:val="24"/>
        </w:rPr>
      </w:pPr>
    </w:p>
    <w:p w14:paraId="7A461692" w14:textId="69A0D903" w:rsidR="00557093" w:rsidRPr="00557093" w:rsidRDefault="00557093" w:rsidP="00557093">
      <w:pPr>
        <w:ind w:firstLine="720"/>
        <w:rPr>
          <w:rFonts w:ascii="Palatino Linotype" w:hAnsi="Palatino Linotype"/>
          <w:i/>
          <w:sz w:val="24"/>
          <w:szCs w:val="24"/>
        </w:rPr>
      </w:pPr>
      <w:r w:rsidRPr="00557093">
        <w:rPr>
          <w:rFonts w:ascii="Palatino Linotype" w:hAnsi="Palatino Linotype"/>
          <w:sz w:val="24"/>
          <w:szCs w:val="24"/>
        </w:rPr>
        <w:lastRenderedPageBreak/>
        <w:t xml:space="preserve">One of the largest studies conducted on all classes of psychotropic drugs was published in 2021, which exposed that the negative symptoms of alleged schizophrenia (e.g., cognitive impairments) are caused by the “antipsychotics” and other classes of psychotropic drugs advertised as medicines. The researchers shared their findings in the </w:t>
      </w:r>
      <w:r w:rsidRPr="00557093">
        <w:rPr>
          <w:rFonts w:ascii="Palatino Linotype" w:hAnsi="Palatino Linotype"/>
          <w:i/>
          <w:sz w:val="24"/>
          <w:szCs w:val="24"/>
        </w:rPr>
        <w:t>American Journal of Psychiatry:</w:t>
      </w:r>
    </w:p>
    <w:p w14:paraId="322833CC" w14:textId="77777777" w:rsidR="00557093" w:rsidRDefault="00557093" w:rsidP="00557093">
      <w:pPr>
        <w:ind w:firstLine="720"/>
        <w:rPr>
          <w:rFonts w:ascii="Palatino Linotype" w:hAnsi="Palatino Linotype"/>
          <w:sz w:val="24"/>
          <w:szCs w:val="24"/>
        </w:rPr>
      </w:pPr>
    </w:p>
    <w:p w14:paraId="72DF2394" w14:textId="35C77301" w:rsidR="00557093" w:rsidRPr="00557093" w:rsidRDefault="00557093" w:rsidP="00A8339D">
      <w:pPr>
        <w:ind w:left="720"/>
        <w:rPr>
          <w:rFonts w:ascii="Palatino Linotype" w:hAnsi="Palatino Linotype"/>
          <w:sz w:val="24"/>
          <w:szCs w:val="24"/>
        </w:rPr>
      </w:pPr>
      <w:r w:rsidRPr="00557093">
        <w:rPr>
          <w:rFonts w:ascii="Palatino Linotype" w:hAnsi="Palatino Linotype"/>
          <w:sz w:val="24"/>
          <w:szCs w:val="24"/>
        </w:rPr>
        <w:t>Many psychotropic medications used to treat schizophrenia have significant anticholinergic properties, which are linked to cognitive impairment and dementia risk in healthy subjects   Anticholinergic medication burden in schizophrenia is</w:t>
      </w:r>
      <w:r w:rsidR="00A8339D">
        <w:rPr>
          <w:rFonts w:ascii="Palatino Linotype" w:hAnsi="Palatino Linotype"/>
          <w:sz w:val="24"/>
          <w:szCs w:val="24"/>
        </w:rPr>
        <w:t xml:space="preserve"> </w:t>
      </w:r>
      <w:r w:rsidRPr="00557093">
        <w:rPr>
          <w:rFonts w:ascii="Palatino Linotype" w:hAnsi="Palatino Linotype"/>
          <w:sz w:val="24"/>
          <w:szCs w:val="24"/>
        </w:rPr>
        <w:t>substantial, common, conferred by multiple medication classes, and associated with cognitive impairments across all cognitive domains. Anticholinergic medication burden from all medication classes—including psychotropics used in usual care—should be considered in treatment decisions and accounted for in studies of cognitive functioning in schizophrenia.</w:t>
      </w:r>
      <w:r w:rsidR="00FC044A">
        <w:rPr>
          <w:rStyle w:val="FootnoteReference"/>
          <w:rFonts w:ascii="Palatino Linotype" w:hAnsi="Palatino Linotype"/>
          <w:sz w:val="24"/>
          <w:szCs w:val="24"/>
        </w:rPr>
        <w:footnoteReference w:id="269"/>
      </w:r>
    </w:p>
    <w:p w14:paraId="563574C3" w14:textId="77777777" w:rsidR="00A8339D" w:rsidRDefault="00A8339D" w:rsidP="00557093">
      <w:pPr>
        <w:ind w:firstLine="720"/>
        <w:rPr>
          <w:rFonts w:ascii="Palatino Linotype" w:hAnsi="Palatino Linotype"/>
          <w:sz w:val="24"/>
          <w:szCs w:val="24"/>
        </w:rPr>
      </w:pPr>
    </w:p>
    <w:p w14:paraId="7564E245" w14:textId="0891A361"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Despite the evidence, biological reductionists insist that these biomarkers represent potential causes of the claimed theoretical constructs. In essence, these scientific studies expose how abnormal physiological states are regularly produced by prescribed chemicals.</w:t>
      </w:r>
    </w:p>
    <w:p w14:paraId="6C9D4D06" w14:textId="77777777" w:rsidR="00A8339D" w:rsidRDefault="00A8339D" w:rsidP="00557093">
      <w:pPr>
        <w:ind w:firstLine="720"/>
        <w:rPr>
          <w:rFonts w:ascii="Palatino Linotype" w:hAnsi="Palatino Linotype"/>
          <w:sz w:val="24"/>
          <w:szCs w:val="24"/>
        </w:rPr>
      </w:pPr>
    </w:p>
    <w:p w14:paraId="3A49547F" w14:textId="5BCD4357"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 xml:space="preserve">The journal, </w:t>
      </w:r>
      <w:r w:rsidRPr="00557093">
        <w:rPr>
          <w:rFonts w:ascii="Palatino Linotype" w:hAnsi="Palatino Linotype"/>
          <w:i/>
          <w:sz w:val="24"/>
          <w:szCs w:val="24"/>
        </w:rPr>
        <w:t>Frontiers in Psychiatry</w:t>
      </w:r>
      <w:r w:rsidRPr="00557093">
        <w:rPr>
          <w:rFonts w:ascii="Palatino Linotype" w:hAnsi="Palatino Linotype"/>
          <w:sz w:val="24"/>
          <w:szCs w:val="24"/>
        </w:rPr>
        <w:t>, released its own findings in 2020 from one particular study, which evaluated the legitimacy of the FDA’s black box warnings. They shared their conclusive evidence that “antidepressants” are not healing the human soul, but regularly worsening it:</w:t>
      </w:r>
    </w:p>
    <w:p w14:paraId="2A3B677A" w14:textId="77777777" w:rsidR="00557093" w:rsidRPr="00557093" w:rsidRDefault="00557093" w:rsidP="00557093">
      <w:pPr>
        <w:ind w:firstLine="720"/>
        <w:rPr>
          <w:rFonts w:ascii="Palatino Linotype" w:hAnsi="Palatino Linotype"/>
          <w:sz w:val="24"/>
          <w:szCs w:val="24"/>
        </w:rPr>
      </w:pPr>
    </w:p>
    <w:p w14:paraId="43FD76E8" w14:textId="19A089F2" w:rsidR="00557093" w:rsidRPr="00557093" w:rsidRDefault="00557093" w:rsidP="00A8339D">
      <w:pPr>
        <w:ind w:left="720"/>
        <w:rPr>
          <w:rFonts w:ascii="Palatino Linotype" w:hAnsi="Palatino Linotype"/>
          <w:sz w:val="24"/>
          <w:szCs w:val="24"/>
        </w:rPr>
      </w:pPr>
      <w:r w:rsidRPr="00557093">
        <w:rPr>
          <w:rFonts w:ascii="Palatino Linotype" w:hAnsi="Palatino Linotype"/>
          <w:sz w:val="24"/>
          <w:szCs w:val="24"/>
        </w:rPr>
        <w:t>Based on the sum of this evidence, regulatory warnings regarding antidepressant-linked suicidality are clearly warranted. When a clear body of evidence points to increased treatment-linked risk, patients and healthcare providers should be made aware of these risks. To suggest otherwise both breaches the ancient injunction of primum non nocere (first, do no harm) and is not aligned with the practice of evidence-based medicine.</w:t>
      </w:r>
      <w:r w:rsidR="00FC044A">
        <w:rPr>
          <w:rStyle w:val="FootnoteReference"/>
          <w:rFonts w:ascii="Palatino Linotype" w:hAnsi="Palatino Linotype"/>
          <w:sz w:val="24"/>
          <w:szCs w:val="24"/>
        </w:rPr>
        <w:footnoteReference w:id="270"/>
      </w:r>
    </w:p>
    <w:p w14:paraId="75DCB343" w14:textId="77777777" w:rsidR="00A8339D" w:rsidRDefault="00A8339D" w:rsidP="00557093">
      <w:pPr>
        <w:ind w:firstLine="720"/>
        <w:rPr>
          <w:rFonts w:ascii="Palatino Linotype" w:hAnsi="Palatino Linotype"/>
          <w:sz w:val="24"/>
          <w:szCs w:val="24"/>
        </w:rPr>
      </w:pPr>
    </w:p>
    <w:p w14:paraId="6DC775F9" w14:textId="46102EB5"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 xml:space="preserve">In 2021 psychiatrists Sami Tamimi and Awais Aftab summarized the current </w:t>
      </w:r>
      <w:r w:rsidRPr="00557093">
        <w:rPr>
          <w:rFonts w:ascii="Palatino Linotype" w:hAnsi="Palatino Linotype"/>
          <w:sz w:val="24"/>
          <w:szCs w:val="24"/>
        </w:rPr>
        <w:lastRenderedPageBreak/>
        <w:t>sobering state of psychiatry and its deeply held Medical Model:</w:t>
      </w:r>
    </w:p>
    <w:p w14:paraId="1805CD8B" w14:textId="77777777" w:rsidR="00557093" w:rsidRPr="00557093" w:rsidRDefault="00557093" w:rsidP="00557093">
      <w:pPr>
        <w:ind w:firstLine="720"/>
        <w:rPr>
          <w:rFonts w:ascii="Palatino Linotype" w:hAnsi="Palatino Linotype"/>
          <w:sz w:val="24"/>
          <w:szCs w:val="24"/>
        </w:rPr>
      </w:pPr>
    </w:p>
    <w:p w14:paraId="31AAF92E" w14:textId="1B16D1E7" w:rsidR="00557093" w:rsidRPr="00557093" w:rsidRDefault="00557093" w:rsidP="00A8339D">
      <w:pPr>
        <w:ind w:left="720"/>
        <w:rPr>
          <w:rFonts w:ascii="Palatino Linotype" w:hAnsi="Palatino Linotype"/>
          <w:sz w:val="24"/>
          <w:szCs w:val="24"/>
        </w:rPr>
      </w:pPr>
      <w:r w:rsidRPr="00557093">
        <w:rPr>
          <w:rFonts w:ascii="Palatino Linotype" w:hAnsi="Palatino Linotype"/>
          <w:sz w:val="24"/>
          <w:szCs w:val="24"/>
        </w:rPr>
        <w:t>Despite over a century of research to establish possible causes using psychiatric diagnosis as the framing, the cupboard of positive findings remains astonishingly bare. No markers, no genes (apart from a significant portion of those with a learning disability), and no identifiable characteristic brain abnormalities (apart from dementias). Studies looking at outcome from treatment with either pharmaceutical or psychotherapeutic models matched to diagnosis have not shown outcomes improving over time. What has increased instead are the numbers of patients who get a psychiatric diagnosis, the amount of psychiatric medication prescribed, and the numbers who claim disability allowances for a psychiatric problem. If the classification system we use was on the way to becoming diagnostic then we should be seeing something very different in both the science and the outcomes.</w:t>
      </w:r>
      <w:r w:rsidR="00FC044A">
        <w:rPr>
          <w:rStyle w:val="FootnoteReference"/>
          <w:rFonts w:ascii="Palatino Linotype" w:hAnsi="Palatino Linotype"/>
          <w:sz w:val="24"/>
          <w:szCs w:val="24"/>
        </w:rPr>
        <w:footnoteReference w:id="271"/>
      </w:r>
    </w:p>
    <w:p w14:paraId="39E8B341" w14:textId="77777777" w:rsidR="00557093" w:rsidRDefault="00557093" w:rsidP="00557093">
      <w:pPr>
        <w:ind w:firstLine="720"/>
        <w:rPr>
          <w:rFonts w:ascii="Palatino Linotype" w:hAnsi="Palatino Linotype"/>
          <w:sz w:val="24"/>
          <w:szCs w:val="24"/>
        </w:rPr>
      </w:pPr>
    </w:p>
    <w:p w14:paraId="0B891E2B" w14:textId="77777777"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In the same year, former UN diplomat Dainius Pūras admonished his fellow psychiatrists that:</w:t>
      </w:r>
    </w:p>
    <w:p w14:paraId="26570421" w14:textId="77777777" w:rsidR="00557093" w:rsidRPr="00557093" w:rsidRDefault="00557093" w:rsidP="00557093">
      <w:pPr>
        <w:ind w:firstLine="720"/>
        <w:rPr>
          <w:rFonts w:ascii="Palatino Linotype" w:hAnsi="Palatino Linotype"/>
          <w:sz w:val="24"/>
          <w:szCs w:val="24"/>
        </w:rPr>
      </w:pPr>
    </w:p>
    <w:p w14:paraId="687040AB" w14:textId="00E18E47" w:rsidR="00557093" w:rsidRPr="00557093" w:rsidRDefault="00557093" w:rsidP="00A8339D">
      <w:pPr>
        <w:ind w:left="720"/>
        <w:rPr>
          <w:rFonts w:ascii="Palatino Linotype" w:hAnsi="Palatino Linotype"/>
          <w:sz w:val="24"/>
          <w:szCs w:val="24"/>
        </w:rPr>
      </w:pPr>
      <w:r w:rsidRPr="00557093">
        <w:rPr>
          <w:rFonts w:ascii="Palatino Linotype" w:hAnsi="Palatino Linotype"/>
          <w:sz w:val="24"/>
          <w:szCs w:val="24"/>
        </w:rPr>
        <w:t>the main message future doctors have been receiving during the last few decades, is that mental health conditions are mainly about biogenetic or biochemical abnormalities in the brain, and that accordingly such conditions should be managed predominantly with biomedical interventions. My duty was to inform stakeholders that this simplified, reductionistic thinking is not working   Academic psychiatry</w:t>
      </w:r>
      <w:r w:rsidR="00A8339D">
        <w:rPr>
          <w:rFonts w:ascii="Palatino Linotype" w:hAnsi="Palatino Linotype"/>
          <w:sz w:val="24"/>
          <w:szCs w:val="24"/>
        </w:rPr>
        <w:t xml:space="preserve"> </w:t>
      </w:r>
      <w:r w:rsidRPr="00557093">
        <w:rPr>
          <w:rFonts w:ascii="Palatino Linotype" w:hAnsi="Palatino Linotype"/>
          <w:sz w:val="24"/>
          <w:szCs w:val="24"/>
        </w:rPr>
        <w:t>should rethink what kind of knowledge future doctors receive.</w:t>
      </w:r>
      <w:r w:rsidR="00FC044A">
        <w:rPr>
          <w:rStyle w:val="FootnoteReference"/>
          <w:rFonts w:ascii="Palatino Linotype" w:hAnsi="Palatino Linotype"/>
          <w:sz w:val="24"/>
          <w:szCs w:val="24"/>
        </w:rPr>
        <w:footnoteReference w:id="272"/>
      </w:r>
    </w:p>
    <w:p w14:paraId="4F7491F4" w14:textId="77777777" w:rsidR="00A8339D" w:rsidRDefault="00A8339D" w:rsidP="00557093">
      <w:pPr>
        <w:ind w:firstLine="720"/>
        <w:rPr>
          <w:rFonts w:ascii="Palatino Linotype" w:hAnsi="Palatino Linotype"/>
          <w:sz w:val="24"/>
          <w:szCs w:val="24"/>
        </w:rPr>
      </w:pPr>
    </w:p>
    <w:p w14:paraId="356DD83B" w14:textId="775693E4"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If the Medical Model is a valid scientific endeavor that best explains human nature and human phenomena, then it should be healing souls in ways that directly correspond with the advancement of scientific knowledge, medicine, and technology. Yet, since Kraepelinianism was introduced, the opposite trend has occurred in all places it has been applied. Arguably, the most influential psychiatrist in history offered his own assessment of the Medical Model’s reality that should be carefully considered:</w:t>
      </w:r>
    </w:p>
    <w:p w14:paraId="520D2FCA" w14:textId="77777777" w:rsidR="00557093" w:rsidRPr="00557093" w:rsidRDefault="00557093" w:rsidP="00557093">
      <w:pPr>
        <w:ind w:firstLine="720"/>
        <w:rPr>
          <w:rFonts w:ascii="Palatino Linotype" w:hAnsi="Palatino Linotype"/>
          <w:sz w:val="24"/>
          <w:szCs w:val="24"/>
        </w:rPr>
      </w:pPr>
    </w:p>
    <w:p w14:paraId="5EEF48D9" w14:textId="7D3C6520" w:rsidR="00557093" w:rsidRPr="00557093" w:rsidRDefault="00557093" w:rsidP="00A8339D">
      <w:pPr>
        <w:ind w:left="720"/>
        <w:rPr>
          <w:rFonts w:ascii="Palatino Linotype" w:hAnsi="Palatino Linotype"/>
          <w:sz w:val="24"/>
          <w:szCs w:val="24"/>
        </w:rPr>
      </w:pPr>
      <w:r w:rsidRPr="00557093">
        <w:rPr>
          <w:rFonts w:ascii="Palatino Linotype" w:hAnsi="Palatino Linotype"/>
          <w:sz w:val="24"/>
          <w:szCs w:val="24"/>
        </w:rPr>
        <w:t xml:space="preserve">It has been repeatedly stated that research in clinical psychiatry has almost reached a dead end. It has been the practice for some time now to separate one disease from another with respect to causes, clinical findings, course, outcome </w:t>
      </w:r>
      <w:r w:rsidRPr="00557093">
        <w:rPr>
          <w:rFonts w:ascii="Palatino Linotype" w:hAnsi="Palatino Linotype"/>
          <w:sz w:val="24"/>
          <w:szCs w:val="24"/>
        </w:rPr>
        <w:lastRenderedPageBreak/>
        <w:t>and pathological findings. This practice has now outgrown its use. We must explore new avenues.</w:t>
      </w:r>
      <w:r w:rsidR="00FC044A">
        <w:rPr>
          <w:rStyle w:val="FootnoteReference"/>
          <w:rFonts w:ascii="Palatino Linotype" w:hAnsi="Palatino Linotype"/>
          <w:sz w:val="24"/>
          <w:szCs w:val="24"/>
        </w:rPr>
        <w:footnoteReference w:id="273"/>
      </w:r>
    </w:p>
    <w:p w14:paraId="11B22570" w14:textId="77777777" w:rsidR="00A8339D" w:rsidRDefault="00A8339D" w:rsidP="00557093">
      <w:pPr>
        <w:ind w:firstLine="720"/>
        <w:rPr>
          <w:rFonts w:ascii="Palatino Linotype" w:hAnsi="Palatino Linotype"/>
          <w:sz w:val="24"/>
          <w:szCs w:val="24"/>
        </w:rPr>
      </w:pPr>
    </w:p>
    <w:p w14:paraId="1CCA9F53" w14:textId="5D4741BF"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These words, penned by Emil Kraepelin toward the end of his life (1920), still ring true today, and, yet, humanists are unwilling to let go of this failed attempt to explain, approach, and remedy humanity’s deepest and most destructive metaphysical/spiritual problems.</w:t>
      </w:r>
    </w:p>
    <w:p w14:paraId="244EFB9C" w14:textId="77777777" w:rsidR="00557093" w:rsidRPr="00557093" w:rsidRDefault="00557093" w:rsidP="00557093">
      <w:pPr>
        <w:ind w:firstLine="720"/>
        <w:rPr>
          <w:rFonts w:ascii="Palatino Linotype" w:hAnsi="Palatino Linotype"/>
          <w:sz w:val="24"/>
          <w:szCs w:val="24"/>
        </w:rPr>
      </w:pPr>
    </w:p>
    <w:p w14:paraId="5063EA40" w14:textId="77777777" w:rsidR="00557093" w:rsidRDefault="00557093" w:rsidP="00557093">
      <w:pPr>
        <w:rPr>
          <w:rFonts w:ascii="Palatino Linotype" w:hAnsi="Palatino Linotype"/>
          <w:sz w:val="24"/>
          <w:szCs w:val="24"/>
        </w:rPr>
      </w:pPr>
    </w:p>
    <w:p w14:paraId="6C2F4FAB" w14:textId="68F9C0BC" w:rsidR="00557093" w:rsidRPr="00557093" w:rsidRDefault="00557093" w:rsidP="00557093">
      <w:pPr>
        <w:jc w:val="center"/>
        <w:rPr>
          <w:rFonts w:ascii="Palatino Linotype" w:hAnsi="Palatino Linotype"/>
          <w:b/>
          <w:bCs/>
          <w:sz w:val="24"/>
          <w:szCs w:val="24"/>
        </w:rPr>
      </w:pPr>
      <w:r w:rsidRPr="00557093">
        <w:rPr>
          <w:rFonts w:ascii="Palatino Linotype" w:hAnsi="Palatino Linotype"/>
          <w:b/>
          <w:bCs/>
          <w:sz w:val="24"/>
          <w:szCs w:val="24"/>
        </w:rPr>
        <w:t>Conclusion</w:t>
      </w:r>
    </w:p>
    <w:p w14:paraId="6E103D84" w14:textId="77777777"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When the curtain is pulled back and the evidence considered, the Medical Model of mental disorders is revealed to be a myth created by mere mortals and not a product of science. The Medical Model is a presuppositional humanistic worldview rather than an established objective fact, and it has been perpetuated by claims of scientific advancement and integrity, as well as by faith that it is organically medicinal apart from phenomenology. The popular belief that the human soul/psyche can be approached and treated through organic medicine has failed to yield healing to individuals or societies throughout its history, though its leaders continue to promise such future deliverance. As technology has advanced and society has accepted the conjecture that the metaphysical soul/psyche and its very real struggles are somehow caused by the material nature, people and societies have consistently worsened. The Kraepelinian theory, far from being a valid medical field, is an anthropological worldview that destroys humanity as it leads mankind away from the Creator God’s restorative design.</w:t>
      </w:r>
    </w:p>
    <w:p w14:paraId="76477BA4" w14:textId="77777777" w:rsidR="00557093" w:rsidRDefault="00557093" w:rsidP="00557093">
      <w:pPr>
        <w:rPr>
          <w:rFonts w:ascii="Palatino Linotype" w:hAnsi="Palatino Linotype"/>
          <w:sz w:val="24"/>
          <w:szCs w:val="24"/>
        </w:rPr>
      </w:pPr>
    </w:p>
    <w:p w14:paraId="62A37734" w14:textId="77777777"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With a clear view behind the curtain of public knowledge, one must question why the human soul continues to be treated as if it were a malfunctioning organ of the body in need of organic rather than spiritual medicine. More importantly, one must consider whether an alternative worldview/phenomenology exists which sufficiently discerns, describes, explains, and is able to restore the human soul to life/health.</w:t>
      </w:r>
    </w:p>
    <w:p w14:paraId="69F20DBC" w14:textId="77777777" w:rsidR="00557093" w:rsidRDefault="00557093" w:rsidP="00557093">
      <w:pPr>
        <w:ind w:firstLine="720"/>
        <w:rPr>
          <w:rFonts w:ascii="Palatino Linotype" w:hAnsi="Palatino Linotype"/>
          <w:sz w:val="24"/>
          <w:szCs w:val="24"/>
        </w:rPr>
      </w:pPr>
    </w:p>
    <w:p w14:paraId="3420F071" w14:textId="1828A296"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 xml:space="preserve">The myth of the material soul has for decades hidden the reliable and validated phenomenology of Scripture from many people’s eyes. It is this biblical faith alone which consistently reveals the great Physician, Jesus Christ, who alone provides truth that sets captives free and both positionally and progressively restores the human soul to mental/ spiritual wholeness. It is the unique biblical phenomenology/wisdom that has stood the test of time and offers people an identity that is genuinely healing despite cultural differences, environmental changes, advancements in technology, and depths </w:t>
      </w:r>
      <w:r w:rsidRPr="00557093">
        <w:rPr>
          <w:rFonts w:ascii="Palatino Linotype" w:hAnsi="Palatino Linotype"/>
          <w:sz w:val="24"/>
          <w:szCs w:val="24"/>
        </w:rPr>
        <w:lastRenderedPageBreak/>
        <w:t>of despair and distress.</w:t>
      </w:r>
    </w:p>
    <w:p w14:paraId="29F4C02D" w14:textId="77777777" w:rsidR="00557093" w:rsidRDefault="00557093" w:rsidP="00557093">
      <w:pPr>
        <w:ind w:firstLine="720"/>
        <w:rPr>
          <w:rFonts w:ascii="Palatino Linotype" w:hAnsi="Palatino Linotype"/>
          <w:sz w:val="24"/>
          <w:szCs w:val="24"/>
        </w:rPr>
      </w:pPr>
    </w:p>
    <w:p w14:paraId="6EB4DDC3" w14:textId="0605DCD0" w:rsidR="00557093" w:rsidRPr="00557093" w:rsidRDefault="00557093" w:rsidP="00557093">
      <w:pPr>
        <w:ind w:firstLine="720"/>
        <w:rPr>
          <w:rFonts w:ascii="Palatino Linotype" w:hAnsi="Palatino Linotype"/>
          <w:sz w:val="24"/>
          <w:szCs w:val="24"/>
        </w:rPr>
      </w:pPr>
      <w:r w:rsidRPr="00557093">
        <w:rPr>
          <w:rFonts w:ascii="Palatino Linotype" w:hAnsi="Palatino Linotype"/>
          <w:sz w:val="24"/>
          <w:szCs w:val="24"/>
        </w:rPr>
        <w:t>From its beginnings with Rush, through its significant role in the Holocaust, and up to its impact on all facets of society today, the Medical Model has been overwhelmingly destructive in every attempt to treat the human soul and the metaphysical phenomena experienced by humanity. It is well past time that the myth that is the Medical Model of mental disorders be antiquated to history and the only avenue known to genuinely treat the soul and restore its original design/order be once again esteemed and promoted.</w:t>
      </w:r>
    </w:p>
    <w:p w14:paraId="735B525E" w14:textId="77777777" w:rsidR="00557093" w:rsidRPr="00557093" w:rsidRDefault="00557093" w:rsidP="00557093">
      <w:pPr>
        <w:ind w:firstLine="720"/>
        <w:rPr>
          <w:rFonts w:ascii="Palatino Linotype" w:hAnsi="Palatino Linotype"/>
          <w:sz w:val="24"/>
          <w:szCs w:val="24"/>
        </w:rPr>
      </w:pPr>
    </w:p>
    <w:p w14:paraId="58E545F3" w14:textId="77777777" w:rsidR="00C71989" w:rsidRDefault="00C71989" w:rsidP="00E00A01">
      <w:pPr>
        <w:ind w:firstLine="720"/>
        <w:rPr>
          <w:rFonts w:ascii="Palatino Linotype" w:hAnsi="Palatino Linotype"/>
          <w:sz w:val="24"/>
          <w:szCs w:val="24"/>
        </w:rPr>
        <w:sectPr w:rsidR="00C71989">
          <w:footnotePr>
            <w:numRestart w:val="eachSect"/>
          </w:footnotePr>
          <w:pgSz w:w="12240" w:h="15840"/>
          <w:pgMar w:top="1440" w:right="1440" w:bottom="1440" w:left="1440" w:header="720" w:footer="720" w:gutter="0"/>
          <w:cols w:space="720"/>
          <w:docGrid w:linePitch="360"/>
        </w:sectPr>
      </w:pPr>
    </w:p>
    <w:p w14:paraId="2DD6AC4C" w14:textId="77777777" w:rsidR="001233CF" w:rsidRDefault="001233CF" w:rsidP="001233CF">
      <w:pPr>
        <w:ind w:firstLine="720"/>
        <w:jc w:val="center"/>
        <w:rPr>
          <w:rFonts w:ascii="Palatino Linotype" w:hAnsi="Palatino Linotype"/>
          <w:b/>
          <w:bCs/>
          <w:sz w:val="28"/>
          <w:szCs w:val="28"/>
        </w:rPr>
      </w:pPr>
    </w:p>
    <w:p w14:paraId="2F3CD6AC" w14:textId="77777777" w:rsidR="001233CF" w:rsidRPr="001233CF" w:rsidRDefault="001233CF" w:rsidP="001233CF">
      <w:pPr>
        <w:ind w:firstLine="720"/>
        <w:jc w:val="center"/>
        <w:rPr>
          <w:rFonts w:ascii="Palatino Linotype" w:hAnsi="Palatino Linotype"/>
          <w:b/>
          <w:bCs/>
          <w:sz w:val="28"/>
          <w:szCs w:val="28"/>
        </w:rPr>
      </w:pPr>
    </w:p>
    <w:p w14:paraId="593E7110" w14:textId="77777777" w:rsidR="001233CF" w:rsidRPr="001233CF" w:rsidRDefault="001233CF" w:rsidP="001233CF">
      <w:pPr>
        <w:ind w:firstLine="720"/>
        <w:jc w:val="center"/>
        <w:rPr>
          <w:rFonts w:ascii="Palatino Linotype" w:hAnsi="Palatino Linotype"/>
          <w:b/>
          <w:bCs/>
          <w:sz w:val="28"/>
          <w:szCs w:val="28"/>
        </w:rPr>
      </w:pPr>
    </w:p>
    <w:p w14:paraId="32E2D1EF" w14:textId="77777777" w:rsidR="001233CF" w:rsidRDefault="00D41CA9" w:rsidP="001233CF">
      <w:pPr>
        <w:ind w:firstLine="720"/>
        <w:jc w:val="center"/>
        <w:rPr>
          <w:rFonts w:ascii="Palatino Linotype" w:hAnsi="Palatino Linotype"/>
          <w:b/>
          <w:bCs/>
          <w:sz w:val="28"/>
          <w:szCs w:val="28"/>
        </w:rPr>
      </w:pPr>
      <w:r w:rsidRPr="001233CF">
        <w:rPr>
          <w:rFonts w:ascii="Palatino Linotype" w:hAnsi="Palatino Linotype"/>
          <w:b/>
          <w:bCs/>
          <w:sz w:val="28"/>
          <w:szCs w:val="28"/>
        </w:rPr>
        <w:t xml:space="preserve">PSYCHIATRIC MEDICATIONS, BRAIN CHEMICALS, </w:t>
      </w:r>
    </w:p>
    <w:p w14:paraId="33459F72" w14:textId="225F08D7" w:rsidR="001233CF" w:rsidRPr="001233CF" w:rsidRDefault="00D41CA9" w:rsidP="001233CF">
      <w:pPr>
        <w:ind w:firstLine="720"/>
        <w:jc w:val="center"/>
        <w:rPr>
          <w:rFonts w:ascii="Palatino Linotype" w:hAnsi="Palatino Linotype"/>
          <w:b/>
          <w:bCs/>
          <w:sz w:val="28"/>
          <w:szCs w:val="28"/>
        </w:rPr>
      </w:pPr>
      <w:r w:rsidRPr="001233CF">
        <w:rPr>
          <w:rFonts w:ascii="Palatino Linotype" w:hAnsi="Palatino Linotype"/>
          <w:b/>
          <w:bCs/>
          <w:sz w:val="28"/>
          <w:szCs w:val="28"/>
        </w:rPr>
        <w:t xml:space="preserve">AND THE SOUL: </w:t>
      </w:r>
    </w:p>
    <w:p w14:paraId="1FEC6971" w14:textId="66ED28DD" w:rsidR="00557093" w:rsidRDefault="00D41CA9" w:rsidP="001233CF">
      <w:pPr>
        <w:ind w:firstLine="720"/>
        <w:jc w:val="center"/>
        <w:rPr>
          <w:rFonts w:ascii="Palatino Linotype" w:hAnsi="Palatino Linotype"/>
          <w:b/>
          <w:bCs/>
          <w:sz w:val="28"/>
          <w:szCs w:val="28"/>
        </w:rPr>
      </w:pPr>
      <w:r w:rsidRPr="001233CF">
        <w:rPr>
          <w:rFonts w:ascii="Palatino Linotype" w:hAnsi="Palatino Linotype"/>
          <w:b/>
          <w:bCs/>
          <w:sz w:val="28"/>
          <w:szCs w:val="28"/>
        </w:rPr>
        <w:t>A CALL FOR CLARITY</w:t>
      </w:r>
      <w:r w:rsidR="001233CF" w:rsidRPr="001233CF">
        <w:rPr>
          <w:rFonts w:ascii="Palatino Linotype" w:hAnsi="Palatino Linotype"/>
          <w:b/>
          <w:bCs/>
          <w:sz w:val="28"/>
          <w:szCs w:val="28"/>
        </w:rPr>
        <w:t>?</w:t>
      </w:r>
    </w:p>
    <w:p w14:paraId="4CA80832" w14:textId="77777777" w:rsidR="001233CF" w:rsidRDefault="001233CF" w:rsidP="001233CF">
      <w:pPr>
        <w:ind w:firstLine="720"/>
        <w:jc w:val="center"/>
        <w:rPr>
          <w:rFonts w:ascii="Palatino Linotype" w:hAnsi="Palatino Linotype"/>
          <w:b/>
          <w:bCs/>
          <w:sz w:val="28"/>
          <w:szCs w:val="28"/>
        </w:rPr>
      </w:pPr>
    </w:p>
    <w:p w14:paraId="0B3F9445" w14:textId="77777777" w:rsidR="001233CF" w:rsidRDefault="001233CF" w:rsidP="001233CF">
      <w:pPr>
        <w:ind w:firstLine="720"/>
        <w:jc w:val="center"/>
        <w:rPr>
          <w:rFonts w:ascii="Palatino Linotype" w:hAnsi="Palatino Linotype"/>
          <w:b/>
          <w:bCs/>
          <w:sz w:val="28"/>
          <w:szCs w:val="28"/>
        </w:rPr>
      </w:pPr>
    </w:p>
    <w:p w14:paraId="11F17C3A" w14:textId="2EA0D4C2" w:rsidR="001233CF" w:rsidRDefault="001233CF" w:rsidP="001233CF">
      <w:pPr>
        <w:ind w:firstLine="720"/>
        <w:jc w:val="center"/>
        <w:rPr>
          <w:rFonts w:ascii="Palatino Linotype" w:hAnsi="Palatino Linotype"/>
          <w:b/>
          <w:bCs/>
          <w:i/>
          <w:iCs/>
          <w:sz w:val="28"/>
          <w:szCs w:val="28"/>
        </w:rPr>
      </w:pPr>
      <w:r w:rsidRPr="001233CF">
        <w:rPr>
          <w:rFonts w:ascii="Palatino Linotype" w:hAnsi="Palatino Linotype"/>
          <w:b/>
          <w:bCs/>
          <w:i/>
          <w:iCs/>
          <w:sz w:val="28"/>
          <w:szCs w:val="28"/>
        </w:rPr>
        <w:t>BY LEE C. EDMONDS, M.D.</w:t>
      </w:r>
    </w:p>
    <w:p w14:paraId="5A7617EF" w14:textId="77777777" w:rsidR="001233CF" w:rsidRDefault="001233CF" w:rsidP="001233CF">
      <w:pPr>
        <w:ind w:firstLine="720"/>
        <w:jc w:val="center"/>
        <w:rPr>
          <w:rFonts w:ascii="Palatino Linotype" w:hAnsi="Palatino Linotype"/>
          <w:b/>
          <w:bCs/>
          <w:i/>
          <w:iCs/>
          <w:sz w:val="28"/>
          <w:szCs w:val="28"/>
        </w:rPr>
      </w:pPr>
    </w:p>
    <w:p w14:paraId="54955547" w14:textId="77777777" w:rsidR="001233CF" w:rsidRDefault="001233CF" w:rsidP="001233CF">
      <w:pPr>
        <w:jc w:val="center"/>
        <w:rPr>
          <w:rFonts w:ascii="Palatino Linotype" w:hAnsi="Palatino Linotype"/>
          <w:b/>
          <w:bCs/>
          <w:sz w:val="24"/>
          <w:szCs w:val="24"/>
        </w:rPr>
      </w:pPr>
    </w:p>
    <w:p w14:paraId="68FCDE64" w14:textId="77777777" w:rsidR="001233CF" w:rsidRDefault="001233CF" w:rsidP="001233CF">
      <w:pPr>
        <w:jc w:val="center"/>
        <w:rPr>
          <w:rFonts w:ascii="Palatino Linotype" w:hAnsi="Palatino Linotype"/>
          <w:b/>
          <w:bCs/>
          <w:sz w:val="24"/>
          <w:szCs w:val="24"/>
        </w:rPr>
      </w:pPr>
    </w:p>
    <w:p w14:paraId="4298227B" w14:textId="7028496A" w:rsidR="001233CF" w:rsidRPr="001233CF" w:rsidRDefault="001233CF" w:rsidP="001233CF">
      <w:pPr>
        <w:jc w:val="center"/>
        <w:rPr>
          <w:rFonts w:ascii="Palatino Linotype" w:hAnsi="Palatino Linotype"/>
          <w:b/>
          <w:bCs/>
          <w:sz w:val="24"/>
          <w:szCs w:val="24"/>
        </w:rPr>
      </w:pPr>
      <w:r w:rsidRPr="001233CF">
        <w:rPr>
          <w:rFonts w:ascii="Palatino Linotype" w:hAnsi="Palatino Linotype"/>
          <w:b/>
          <w:bCs/>
          <w:sz w:val="24"/>
          <w:szCs w:val="24"/>
        </w:rPr>
        <w:t>Introduction</w:t>
      </w:r>
    </w:p>
    <w:p w14:paraId="616FA3A5" w14:textId="77777777" w:rsidR="001233CF" w:rsidRPr="001233CF" w:rsidRDefault="001233CF" w:rsidP="001233CF">
      <w:pPr>
        <w:ind w:firstLine="720"/>
        <w:rPr>
          <w:rFonts w:ascii="Palatino Linotype" w:hAnsi="Palatino Linotype"/>
          <w:sz w:val="24"/>
          <w:szCs w:val="24"/>
        </w:rPr>
      </w:pPr>
      <w:r w:rsidRPr="001233CF">
        <w:rPr>
          <w:rFonts w:ascii="Palatino Linotype" w:hAnsi="Palatino Linotype"/>
          <w:sz w:val="24"/>
          <w:szCs w:val="24"/>
        </w:rPr>
        <w:t>Many ideas, especially conflicting ideas, can easily contribute to confusion. The best place to begin an intellectual musing aimed at gaining clarity is with truth. Truth is defined as an accurate description of reality. Reality is the way things really are and the way we need to see life. Our most reliable source of truth is the Word of God. From the Word is extracted our priori understandings of life. The Scriptures are sufficient for the task of understanding “life and godliness” (2 Peter 1:3). This biblical understanding must form our foundation for understanding all of life, including difficult issues of daily life. One such difficult area of daily life is what has been commonly referred to as mental illness and the associated implications of brain chemicals and the soul.</w:t>
      </w:r>
    </w:p>
    <w:p w14:paraId="03D7778B" w14:textId="77777777" w:rsidR="001233CF" w:rsidRDefault="001233CF" w:rsidP="001233CF">
      <w:pPr>
        <w:ind w:firstLine="720"/>
        <w:rPr>
          <w:rFonts w:ascii="Palatino Linotype" w:hAnsi="Palatino Linotype"/>
          <w:sz w:val="24"/>
          <w:szCs w:val="24"/>
        </w:rPr>
      </w:pPr>
    </w:p>
    <w:p w14:paraId="12E5DE6A" w14:textId="7FF562AD" w:rsidR="001233CF" w:rsidRPr="001233CF" w:rsidRDefault="001233CF" w:rsidP="001233CF">
      <w:pPr>
        <w:ind w:firstLine="720"/>
        <w:rPr>
          <w:rFonts w:ascii="Palatino Linotype" w:hAnsi="Palatino Linotype"/>
          <w:sz w:val="24"/>
          <w:szCs w:val="24"/>
        </w:rPr>
      </w:pPr>
      <w:r w:rsidRPr="001233CF">
        <w:rPr>
          <w:rFonts w:ascii="Palatino Linotype" w:hAnsi="Palatino Linotype"/>
          <w:sz w:val="24"/>
          <w:szCs w:val="24"/>
        </w:rPr>
        <w:t>While the Scriptures are sufficient, they are not exhaustive knowledge. God knows more than He has revealed (Deuteronomy 29:29). As we navigate areas not directly addressed in Scripture, God intends that we use wisdom in applying the foundational truths (Proverbs 1:1-7). In the paragraphs to follow, we will attempt to better understand things that are directly mentioned in Scripture such as sorrow (depression), as well as things not directly mentioned in Scripture such as dopamine, with both being part of reality.</w:t>
      </w:r>
    </w:p>
    <w:p w14:paraId="51858FB6" w14:textId="77777777" w:rsidR="001233CF" w:rsidRDefault="001233CF" w:rsidP="001233CF">
      <w:pPr>
        <w:ind w:firstLine="720"/>
        <w:rPr>
          <w:rFonts w:ascii="Palatino Linotype" w:hAnsi="Palatino Linotype"/>
          <w:sz w:val="24"/>
          <w:szCs w:val="24"/>
        </w:rPr>
      </w:pPr>
    </w:p>
    <w:p w14:paraId="17924A73" w14:textId="7C11CA29" w:rsidR="001233CF" w:rsidRPr="001233CF" w:rsidRDefault="001233CF" w:rsidP="001233CF">
      <w:pPr>
        <w:ind w:firstLine="720"/>
        <w:rPr>
          <w:rFonts w:ascii="Palatino Linotype" w:hAnsi="Palatino Linotype"/>
          <w:sz w:val="24"/>
          <w:szCs w:val="24"/>
        </w:rPr>
      </w:pPr>
      <w:r w:rsidRPr="001233CF">
        <w:rPr>
          <w:rFonts w:ascii="Palatino Linotype" w:hAnsi="Palatino Linotype"/>
          <w:sz w:val="24"/>
          <w:szCs w:val="24"/>
        </w:rPr>
        <w:t>Our biblical theology must not stay in an ivory tower, but accompany us into the streets of life. It must be able to accurately incorporate added observations of life, making it relevant to life and godliness. Without relevance in this life, our faith is rendered impractical. Mental illness is complex because it exists at the crossroad of immaterial and material, natural and supernatural, body and soul. Scripture is what is required to navigate such a complex and important issue.</w:t>
      </w:r>
    </w:p>
    <w:p w14:paraId="13785FCC" w14:textId="77777777" w:rsidR="001233CF" w:rsidRDefault="001233CF" w:rsidP="001233CF">
      <w:pPr>
        <w:ind w:firstLine="720"/>
        <w:rPr>
          <w:rFonts w:ascii="Palatino Linotype" w:hAnsi="Palatino Linotype"/>
          <w:sz w:val="24"/>
          <w:szCs w:val="24"/>
        </w:rPr>
      </w:pPr>
    </w:p>
    <w:p w14:paraId="30E96EAD" w14:textId="77777777" w:rsidR="001233CF" w:rsidRPr="001233CF" w:rsidRDefault="001233CF" w:rsidP="001233CF">
      <w:pPr>
        <w:ind w:firstLine="720"/>
        <w:rPr>
          <w:rFonts w:ascii="Palatino Linotype" w:hAnsi="Palatino Linotype"/>
          <w:sz w:val="24"/>
          <w:szCs w:val="24"/>
        </w:rPr>
      </w:pPr>
      <w:r w:rsidRPr="001233CF">
        <w:rPr>
          <w:rFonts w:ascii="Palatino Linotype" w:hAnsi="Palatino Linotype"/>
          <w:sz w:val="24"/>
          <w:szCs w:val="24"/>
        </w:rPr>
        <w:lastRenderedPageBreak/>
        <w:t>In formulating a truthful response on mental illness, we must take into consideration the nature of man as God has described him, as both body and soul. A biblical understanding of the nature of man will help lend some clarity to some of the confusion surrounding mental illness. This confusion centers on the tension between physical/medical and spiritual/biblical. Only God knows everything about mental illness; but remember, He has given us what we need to navigate our daily lives.</w:t>
      </w:r>
    </w:p>
    <w:p w14:paraId="0647C096" w14:textId="77777777" w:rsidR="001233CF" w:rsidRPr="001233CF" w:rsidRDefault="001233CF" w:rsidP="001233CF">
      <w:pPr>
        <w:ind w:firstLine="720"/>
        <w:rPr>
          <w:rFonts w:ascii="Palatino Linotype" w:hAnsi="Palatino Linotype"/>
          <w:sz w:val="24"/>
          <w:szCs w:val="24"/>
        </w:rPr>
      </w:pPr>
    </w:p>
    <w:p w14:paraId="58132560" w14:textId="77777777" w:rsidR="001233CF" w:rsidRPr="001233CF" w:rsidRDefault="001233CF" w:rsidP="001233CF">
      <w:pPr>
        <w:jc w:val="center"/>
        <w:rPr>
          <w:rFonts w:ascii="Palatino Linotype" w:hAnsi="Palatino Linotype"/>
          <w:b/>
          <w:bCs/>
          <w:sz w:val="24"/>
          <w:szCs w:val="24"/>
        </w:rPr>
      </w:pPr>
      <w:r w:rsidRPr="001233CF">
        <w:rPr>
          <w:rFonts w:ascii="Palatino Linotype" w:hAnsi="Palatino Linotype"/>
          <w:b/>
          <w:bCs/>
          <w:sz w:val="24"/>
          <w:szCs w:val="24"/>
        </w:rPr>
        <w:t>Confusion Surrounds Mental Issues</w:t>
      </w:r>
    </w:p>
    <w:p w14:paraId="718DB594" w14:textId="4BA8DCBE" w:rsidR="001233CF" w:rsidRPr="001233CF" w:rsidRDefault="001233CF" w:rsidP="001233CF">
      <w:pPr>
        <w:ind w:firstLine="720"/>
        <w:rPr>
          <w:rFonts w:ascii="Palatino Linotype" w:hAnsi="Palatino Linotype"/>
          <w:sz w:val="24"/>
          <w:szCs w:val="24"/>
        </w:rPr>
      </w:pPr>
      <w:r w:rsidRPr="001233CF">
        <w:rPr>
          <w:rFonts w:ascii="Palatino Linotype" w:hAnsi="Palatino Linotype"/>
          <w:sz w:val="24"/>
          <w:szCs w:val="24"/>
        </w:rPr>
        <w:t>Mental illness and mental condition are both terms currently in use to describe a human condition. The condition is said to have effect on a person’s thinking, feeling, behavior, or mood. These mental conditions deeply impact day-to-day living and may also affect the ability to relate to others.</w:t>
      </w:r>
      <w:r>
        <w:rPr>
          <w:rStyle w:val="FootnoteReference"/>
          <w:rFonts w:ascii="Palatino Linotype" w:hAnsi="Palatino Linotype"/>
          <w:sz w:val="24"/>
          <w:szCs w:val="24"/>
        </w:rPr>
        <w:footnoteReference w:id="274"/>
      </w:r>
      <w:r w:rsidRPr="001233CF">
        <w:rPr>
          <w:rFonts w:ascii="Palatino Linotype" w:hAnsi="Palatino Linotype"/>
          <w:sz w:val="24"/>
          <w:szCs w:val="24"/>
        </w:rPr>
        <w:t xml:space="preserve"> The National Alliance on Mental Illness (NAMI) reports that this is not uncommon, with one in five American adults affected with mental illness each year and one in twenty seriously affected each year. They also report that 75 percent of mental conditions begin by the age of twenty-four. In our age of modern healthcare, with a problem this significant we would expect a good explanation as to the cause and, therefore, effective treatment.</w:t>
      </w:r>
    </w:p>
    <w:p w14:paraId="59F3864C" w14:textId="77777777" w:rsidR="001233CF" w:rsidRDefault="001233CF" w:rsidP="001233CF">
      <w:pPr>
        <w:ind w:firstLine="720"/>
        <w:rPr>
          <w:rFonts w:ascii="Palatino Linotype" w:hAnsi="Palatino Linotype"/>
          <w:sz w:val="24"/>
          <w:szCs w:val="24"/>
        </w:rPr>
      </w:pPr>
    </w:p>
    <w:p w14:paraId="647BE992" w14:textId="47EC93EB" w:rsidR="001233CF" w:rsidRPr="001233CF" w:rsidRDefault="001233CF" w:rsidP="001233CF">
      <w:pPr>
        <w:ind w:firstLine="720"/>
        <w:rPr>
          <w:rFonts w:ascii="Palatino Linotype" w:hAnsi="Palatino Linotype"/>
          <w:sz w:val="24"/>
          <w:szCs w:val="24"/>
        </w:rPr>
      </w:pPr>
      <w:r w:rsidRPr="001233CF">
        <w:rPr>
          <w:rFonts w:ascii="Palatino Linotype" w:hAnsi="Palatino Linotype"/>
          <w:sz w:val="24"/>
          <w:szCs w:val="24"/>
        </w:rPr>
        <w:t xml:space="preserve">Even in the NAMI description of the issue, we begin to see a confusion of terms. Is this an illness, disease, or just a condition? </w:t>
      </w:r>
      <w:r w:rsidRPr="001233CF">
        <w:rPr>
          <w:rFonts w:ascii="Palatino Linotype" w:hAnsi="Palatino Linotype"/>
          <w:i/>
          <w:sz w:val="24"/>
          <w:szCs w:val="24"/>
        </w:rPr>
        <w:t xml:space="preserve">The Diagnostic and Statistical Manual </w:t>
      </w:r>
      <w:r w:rsidRPr="001233CF">
        <w:rPr>
          <w:rFonts w:ascii="Palatino Linotype" w:hAnsi="Palatino Linotype"/>
          <w:sz w:val="24"/>
          <w:szCs w:val="24"/>
        </w:rPr>
        <w:t>(DSM), the bible of psychiatry, offers no real clarity, but inadvertently contributes to the confusion. The first version of the DSM in 1952 offered 106 labels to describe individuals with mental problems. This number rose to greater than 300 labels in the fourth edition in 2014, and was recently reduced to approximately 150 labels in the fifth addition. This reflects a major challenge in the mental health field. Categorizing individuals with mental problems is difficult, even for the experts in the field. To some, being given a formal DSM label or named disorder provides a sense that their problem is well understood. To the astute observer, label alterations over five editions of the DSM confirm the uncertainty of the actual DSM categories.</w:t>
      </w:r>
    </w:p>
    <w:p w14:paraId="5665AAD9" w14:textId="77777777" w:rsidR="001233CF" w:rsidRDefault="001233CF" w:rsidP="001233CF">
      <w:pPr>
        <w:ind w:firstLine="720"/>
        <w:rPr>
          <w:rFonts w:ascii="Palatino Linotype" w:hAnsi="Palatino Linotype"/>
          <w:sz w:val="24"/>
          <w:szCs w:val="24"/>
        </w:rPr>
      </w:pPr>
    </w:p>
    <w:p w14:paraId="00BC7B28" w14:textId="6FBD90B7" w:rsidR="001233CF" w:rsidRDefault="001233CF" w:rsidP="001233CF">
      <w:pPr>
        <w:ind w:firstLine="720"/>
        <w:rPr>
          <w:rFonts w:ascii="Palatino Linotype" w:hAnsi="Palatino Linotype"/>
          <w:sz w:val="24"/>
          <w:szCs w:val="24"/>
        </w:rPr>
      </w:pPr>
      <w:r w:rsidRPr="001233CF">
        <w:rPr>
          <w:rFonts w:ascii="Palatino Linotype" w:hAnsi="Palatino Linotype"/>
          <w:sz w:val="24"/>
          <w:szCs w:val="24"/>
        </w:rPr>
        <w:t>Not only are there many labels, but also the labels are describing very different people. Some labels reference an individual who appears entirely functional, with some mild internal complaint such as worry. Other labels are applied to markedly abnormal thoughts and behaviors, referencing irrational people not in touch with person, place, or time.</w:t>
      </w:r>
    </w:p>
    <w:p w14:paraId="7420532B" w14:textId="77777777" w:rsidR="001233CF" w:rsidRPr="001233CF" w:rsidRDefault="001233CF" w:rsidP="001233CF">
      <w:pPr>
        <w:ind w:firstLine="720"/>
        <w:rPr>
          <w:rFonts w:ascii="Palatino Linotype" w:hAnsi="Palatino Linotype"/>
          <w:sz w:val="24"/>
          <w:szCs w:val="24"/>
        </w:rPr>
      </w:pPr>
    </w:p>
    <w:p w14:paraId="59CD5D56" w14:textId="77777777" w:rsidR="001233CF" w:rsidRDefault="001233CF" w:rsidP="001233CF">
      <w:pPr>
        <w:ind w:firstLine="720"/>
        <w:rPr>
          <w:rFonts w:ascii="Palatino Linotype" w:hAnsi="Palatino Linotype"/>
          <w:sz w:val="24"/>
          <w:szCs w:val="24"/>
        </w:rPr>
      </w:pPr>
      <w:r w:rsidRPr="001233CF">
        <w:rPr>
          <w:rFonts w:ascii="Palatino Linotype" w:hAnsi="Palatino Linotype"/>
          <w:sz w:val="24"/>
          <w:szCs w:val="24"/>
        </w:rPr>
        <w:t xml:space="preserve">The difficulty in being exact with the DSM process arises not from the DSM </w:t>
      </w:r>
      <w:r w:rsidRPr="001233CF">
        <w:rPr>
          <w:rFonts w:ascii="Palatino Linotype" w:hAnsi="Palatino Linotype"/>
          <w:sz w:val="24"/>
          <w:szCs w:val="24"/>
        </w:rPr>
        <w:lastRenderedPageBreak/>
        <w:t>authors’ lack of concern, but rather from a total lack of causation for the problem or problems facing people with mental issues across the entire field of psychiatry. Jeffrey Lieberman M.D., Chairman of Psychiatry at Columbia, a past president of the American Psychiatric Association, and a contributing architect to the DSM-5, was quoted to say the following regarding the field of psychiatry:</w:t>
      </w:r>
    </w:p>
    <w:p w14:paraId="4771D907" w14:textId="77777777" w:rsidR="001233CF" w:rsidRPr="001233CF" w:rsidRDefault="001233CF" w:rsidP="001233CF">
      <w:pPr>
        <w:ind w:firstLine="720"/>
        <w:rPr>
          <w:rFonts w:ascii="Palatino Linotype" w:hAnsi="Palatino Linotype"/>
          <w:sz w:val="24"/>
          <w:szCs w:val="24"/>
        </w:rPr>
      </w:pPr>
    </w:p>
    <w:p w14:paraId="368281BD" w14:textId="77777777" w:rsidR="001233CF" w:rsidRPr="001233CF" w:rsidRDefault="001233CF" w:rsidP="001233CF">
      <w:pPr>
        <w:ind w:firstLine="720"/>
        <w:rPr>
          <w:rFonts w:ascii="Palatino Linotype" w:hAnsi="Palatino Linotype"/>
          <w:sz w:val="24"/>
          <w:szCs w:val="24"/>
        </w:rPr>
      </w:pPr>
      <w:r w:rsidRPr="001233CF">
        <w:rPr>
          <w:rFonts w:ascii="Palatino Linotype" w:hAnsi="Palatino Linotype"/>
          <w:sz w:val="24"/>
          <w:szCs w:val="24"/>
        </w:rPr>
        <w:t>The architects of DSM-5 and in psychiatry in general, would like nothing better</w:t>
      </w:r>
    </w:p>
    <w:p w14:paraId="6396B034" w14:textId="02313E52" w:rsidR="001233CF" w:rsidRPr="001233CF" w:rsidRDefault="001233CF" w:rsidP="001233CF">
      <w:pPr>
        <w:ind w:left="720"/>
        <w:rPr>
          <w:rFonts w:ascii="Palatino Linotype" w:hAnsi="Palatino Linotype"/>
          <w:sz w:val="24"/>
          <w:szCs w:val="24"/>
        </w:rPr>
      </w:pPr>
      <w:r w:rsidRPr="001233CF">
        <w:rPr>
          <w:rFonts w:ascii="Palatino Linotype" w:hAnsi="Palatino Linotype"/>
          <w:sz w:val="24"/>
          <w:szCs w:val="24"/>
        </w:rPr>
        <w:t>than scientific advances to bring us to the point where we know that this gene or toxic protein or trauma produces this disorder, and you can make the diagnosis by blood test or x-ray or the proper procedure, God willing, that they will be coming soon. But the reality is that we are not there yet.</w:t>
      </w:r>
      <w:r>
        <w:rPr>
          <w:rStyle w:val="FootnoteReference"/>
          <w:rFonts w:ascii="Palatino Linotype" w:hAnsi="Palatino Linotype"/>
          <w:sz w:val="24"/>
          <w:szCs w:val="24"/>
        </w:rPr>
        <w:footnoteReference w:id="275"/>
      </w:r>
    </w:p>
    <w:p w14:paraId="7A2668B5" w14:textId="77777777" w:rsidR="001233CF" w:rsidRDefault="001233CF" w:rsidP="001233CF">
      <w:pPr>
        <w:ind w:firstLine="720"/>
        <w:rPr>
          <w:rFonts w:ascii="Palatino Linotype" w:hAnsi="Palatino Linotype"/>
          <w:sz w:val="24"/>
          <w:szCs w:val="24"/>
        </w:rPr>
      </w:pPr>
    </w:p>
    <w:p w14:paraId="26F2AE6F" w14:textId="746C4F2D" w:rsidR="001233CF" w:rsidRDefault="001233CF" w:rsidP="001233CF">
      <w:pPr>
        <w:ind w:firstLine="720"/>
        <w:rPr>
          <w:rFonts w:ascii="Palatino Linotype" w:hAnsi="Palatino Linotype"/>
          <w:sz w:val="24"/>
          <w:szCs w:val="24"/>
        </w:rPr>
      </w:pPr>
      <w:r w:rsidRPr="001233CF">
        <w:rPr>
          <w:rFonts w:ascii="Palatino Linotype" w:hAnsi="Palatino Linotype"/>
          <w:sz w:val="24"/>
          <w:szCs w:val="24"/>
        </w:rPr>
        <w:t>Knowing the causes (etiologies) would significantly advance the ability to categorize (diagnose) the problems. With a known cause, targeted treatments might soon follow. The medical field in general has an increasing uneasiness concerning the use of the DSM labels. A New England Journal commentary from May 17, 2012, contains the following remarks regarding the DSM:</w:t>
      </w:r>
    </w:p>
    <w:p w14:paraId="15E29B64" w14:textId="77777777" w:rsidR="001233CF" w:rsidRPr="001233CF" w:rsidRDefault="001233CF" w:rsidP="001233CF">
      <w:pPr>
        <w:ind w:firstLine="720"/>
        <w:rPr>
          <w:rFonts w:ascii="Palatino Linotype" w:hAnsi="Palatino Linotype"/>
          <w:sz w:val="24"/>
          <w:szCs w:val="24"/>
        </w:rPr>
      </w:pPr>
    </w:p>
    <w:p w14:paraId="471A8F3F" w14:textId="16A98AAF" w:rsidR="001233CF" w:rsidRPr="001233CF" w:rsidRDefault="001233CF" w:rsidP="001233CF">
      <w:pPr>
        <w:ind w:left="720"/>
        <w:rPr>
          <w:rFonts w:ascii="Palatino Linotype" w:hAnsi="Palatino Linotype"/>
          <w:sz w:val="24"/>
          <w:szCs w:val="24"/>
        </w:rPr>
      </w:pPr>
      <w:r w:rsidRPr="001233CF">
        <w:rPr>
          <w:rFonts w:ascii="Palatino Linotype" w:hAnsi="Palatino Linotype"/>
          <w:sz w:val="24"/>
          <w:szCs w:val="24"/>
        </w:rPr>
        <w:t>A most serious problem, common to field guides, is the difficulty of separating entities that are similar in appearance.… Identifying a disorder by its symptoms does not translate into understanding it. Clinicians need some heuristic concept of its nature, grasped in terms of cause or mechanism, to render it intelligible and to justify their actions in practice and research.… Much turns on causation.</w:t>
      </w:r>
      <w:r>
        <w:rPr>
          <w:rStyle w:val="FootnoteReference"/>
          <w:rFonts w:ascii="Palatino Linotype" w:hAnsi="Palatino Linotype"/>
          <w:sz w:val="24"/>
          <w:szCs w:val="24"/>
        </w:rPr>
        <w:footnoteReference w:id="276"/>
      </w:r>
    </w:p>
    <w:p w14:paraId="2B069F9A" w14:textId="77777777" w:rsidR="001233CF" w:rsidRDefault="001233CF" w:rsidP="001233CF">
      <w:pPr>
        <w:ind w:firstLine="720"/>
        <w:rPr>
          <w:rFonts w:ascii="Palatino Linotype" w:hAnsi="Palatino Linotype"/>
          <w:sz w:val="24"/>
          <w:szCs w:val="24"/>
        </w:rPr>
      </w:pPr>
    </w:p>
    <w:p w14:paraId="60F64332" w14:textId="56FA45F9" w:rsidR="001233CF" w:rsidRDefault="001233CF" w:rsidP="001233CF">
      <w:pPr>
        <w:ind w:firstLine="720"/>
        <w:rPr>
          <w:rFonts w:ascii="Palatino Linotype" w:hAnsi="Palatino Linotype"/>
          <w:sz w:val="24"/>
          <w:szCs w:val="24"/>
        </w:rPr>
      </w:pPr>
      <w:r w:rsidRPr="001233CF">
        <w:rPr>
          <w:rFonts w:ascii="Palatino Linotype" w:hAnsi="Palatino Linotype"/>
          <w:sz w:val="24"/>
          <w:szCs w:val="24"/>
        </w:rPr>
        <w:t>There is also concern for the overuse and misuse of DSM labels. Ramin Mojtabai writes in a New England Journal of Medicine (NEJM) commentary of his concern that the screening and labeling of the elderly for depression is resulting in erroneous labels leading to excess medication.</w:t>
      </w:r>
      <w:r>
        <w:rPr>
          <w:rStyle w:val="FootnoteReference"/>
          <w:rFonts w:ascii="Palatino Linotype" w:hAnsi="Palatino Linotype"/>
          <w:sz w:val="24"/>
          <w:szCs w:val="24"/>
        </w:rPr>
        <w:footnoteReference w:id="277"/>
      </w:r>
      <w:r w:rsidRPr="001233CF">
        <w:rPr>
          <w:rFonts w:ascii="Palatino Linotype" w:hAnsi="Palatino Linotype"/>
          <w:sz w:val="24"/>
          <w:szCs w:val="24"/>
        </w:rPr>
        <w:t xml:space="preserve"> Also in the NEJM, Heidi M. Feldman and Michael I. Reiff have similar concern and data to suggest that in children, the ADHD label is overused and results in excess medication usage:</w:t>
      </w:r>
    </w:p>
    <w:p w14:paraId="61592334" w14:textId="77777777" w:rsidR="001233CF" w:rsidRPr="001233CF" w:rsidRDefault="001233CF" w:rsidP="001233CF">
      <w:pPr>
        <w:ind w:firstLine="720"/>
        <w:rPr>
          <w:rFonts w:ascii="Palatino Linotype" w:hAnsi="Palatino Linotype"/>
          <w:sz w:val="24"/>
          <w:szCs w:val="24"/>
        </w:rPr>
      </w:pPr>
    </w:p>
    <w:p w14:paraId="627CB0CD" w14:textId="58FAF2C7" w:rsidR="001233CF" w:rsidRPr="001233CF" w:rsidRDefault="001233CF" w:rsidP="001233CF">
      <w:pPr>
        <w:ind w:left="720"/>
        <w:rPr>
          <w:rFonts w:ascii="Palatino Linotype" w:hAnsi="Palatino Linotype"/>
          <w:sz w:val="24"/>
          <w:szCs w:val="24"/>
        </w:rPr>
      </w:pPr>
      <w:r w:rsidRPr="001233CF">
        <w:rPr>
          <w:rFonts w:ascii="Palatino Linotype" w:hAnsi="Palatino Linotype"/>
          <w:sz w:val="24"/>
          <w:szCs w:val="24"/>
        </w:rPr>
        <w:t xml:space="preserve">In the absence of biomarkers, diagnostic criteria focus on behavioral symptoms. Since the same characteristics may be observed in children and adolescents during typical development, the diagnosis of ADHD calls for symptoms that are </w:t>
      </w:r>
      <w:r w:rsidRPr="001233CF">
        <w:rPr>
          <w:rFonts w:ascii="Palatino Linotype" w:hAnsi="Palatino Linotype"/>
          <w:sz w:val="24"/>
          <w:szCs w:val="24"/>
        </w:rPr>
        <w:lastRenderedPageBreak/>
        <w:t>severe, out of proportion to expectations according to the child’s age and developmental level…. 9.5% of all US children (between ages 6-17) have received the ADHD diagnosis.… High prevalence rates suggest over diagnosis.</w:t>
      </w:r>
      <w:r>
        <w:rPr>
          <w:rStyle w:val="FootnoteReference"/>
          <w:rFonts w:ascii="Palatino Linotype" w:hAnsi="Palatino Linotype"/>
          <w:sz w:val="24"/>
          <w:szCs w:val="24"/>
        </w:rPr>
        <w:footnoteReference w:id="278"/>
      </w:r>
    </w:p>
    <w:p w14:paraId="4EEACFFE" w14:textId="77777777" w:rsidR="001233CF" w:rsidRDefault="001233CF" w:rsidP="001233CF">
      <w:pPr>
        <w:ind w:firstLine="720"/>
        <w:rPr>
          <w:rFonts w:ascii="Palatino Linotype" w:hAnsi="Palatino Linotype"/>
          <w:sz w:val="24"/>
          <w:szCs w:val="24"/>
        </w:rPr>
      </w:pPr>
    </w:p>
    <w:p w14:paraId="29B9325A" w14:textId="1E30FD51" w:rsidR="008F4D07" w:rsidRDefault="001233CF" w:rsidP="008F4D07">
      <w:pPr>
        <w:ind w:firstLine="720"/>
        <w:rPr>
          <w:rFonts w:ascii="Palatino Linotype" w:hAnsi="Palatino Linotype"/>
          <w:sz w:val="24"/>
          <w:szCs w:val="24"/>
        </w:rPr>
      </w:pPr>
      <w:r w:rsidRPr="001233CF">
        <w:rPr>
          <w:rFonts w:ascii="Palatino Linotype" w:hAnsi="Palatino Linotype"/>
          <w:sz w:val="24"/>
          <w:szCs w:val="24"/>
        </w:rPr>
        <w:t xml:space="preserve">Dr. Lieberman, in his book </w:t>
      </w:r>
      <w:r w:rsidRPr="001233CF">
        <w:rPr>
          <w:rFonts w:ascii="Palatino Linotype" w:hAnsi="Palatino Linotype"/>
          <w:i/>
          <w:sz w:val="24"/>
          <w:szCs w:val="24"/>
        </w:rPr>
        <w:t xml:space="preserve">Shrinks: The Untold Story of Psychiatry, </w:t>
      </w:r>
      <w:r w:rsidRPr="001233CF">
        <w:rPr>
          <w:rFonts w:ascii="Palatino Linotype" w:hAnsi="Palatino Linotype"/>
          <w:sz w:val="24"/>
          <w:szCs w:val="24"/>
        </w:rPr>
        <w:t>recounts his passionate desire for the field of psychiatry to move from “the black sheep of the medical family” into a field with more hard science of causation, and treatments aimed directly at the causes of mental illness.</w:t>
      </w:r>
      <w:r>
        <w:rPr>
          <w:rStyle w:val="FootnoteReference"/>
          <w:rFonts w:ascii="Palatino Linotype" w:hAnsi="Palatino Linotype"/>
          <w:sz w:val="24"/>
          <w:szCs w:val="24"/>
        </w:rPr>
        <w:footnoteReference w:id="279"/>
      </w:r>
      <w:r w:rsidRPr="001233CF">
        <w:rPr>
          <w:rFonts w:ascii="Palatino Linotype" w:hAnsi="Palatino Linotype"/>
          <w:sz w:val="24"/>
          <w:szCs w:val="24"/>
        </w:rPr>
        <w:t xml:space="preserve"> In the book, Dr. Lieberman traces the course of psychiatry from the early attempts to help people through many desperate measures, which resulted in harm. Lieberman explains his yet-unrealized hope for better diagnostic and treatment tools. Traditionally and currently, psychiatry is forced to manage the seemingly ethereal mind, while fields like neurology or</w:t>
      </w:r>
      <w:r w:rsidR="008F4D07">
        <w:rPr>
          <w:rFonts w:ascii="Palatino Linotype" w:hAnsi="Palatino Linotype"/>
          <w:sz w:val="24"/>
          <w:szCs w:val="24"/>
        </w:rPr>
        <w:t xml:space="preserve"> </w:t>
      </w:r>
      <w:r w:rsidR="008F4D07" w:rsidRPr="008F4D07">
        <w:rPr>
          <w:rFonts w:ascii="Palatino Linotype" w:hAnsi="Palatino Linotype"/>
          <w:sz w:val="24"/>
          <w:szCs w:val="24"/>
        </w:rPr>
        <w:t>cardiology manage the physiologic material. Until a problem is understood, the solutions will not likely address the core issue.</w:t>
      </w:r>
    </w:p>
    <w:p w14:paraId="45EB0A92" w14:textId="77777777" w:rsidR="008F4D07" w:rsidRPr="008F4D07" w:rsidRDefault="008F4D07" w:rsidP="008F4D07">
      <w:pPr>
        <w:ind w:firstLine="720"/>
        <w:rPr>
          <w:rFonts w:ascii="Palatino Linotype" w:hAnsi="Palatino Linotype"/>
          <w:sz w:val="24"/>
          <w:szCs w:val="24"/>
        </w:rPr>
      </w:pPr>
    </w:p>
    <w:p w14:paraId="40CD7346" w14:textId="77777777" w:rsidR="008F4D07" w:rsidRPr="008F4D07" w:rsidRDefault="008F4D07" w:rsidP="008F4D07">
      <w:pPr>
        <w:ind w:firstLine="720"/>
        <w:rPr>
          <w:rFonts w:ascii="Palatino Linotype" w:hAnsi="Palatino Linotype"/>
          <w:sz w:val="24"/>
          <w:szCs w:val="24"/>
        </w:rPr>
      </w:pPr>
      <w:r w:rsidRPr="008F4D07">
        <w:rPr>
          <w:rFonts w:ascii="Palatino Linotype" w:hAnsi="Palatino Linotype"/>
          <w:sz w:val="24"/>
          <w:szCs w:val="24"/>
        </w:rPr>
        <w:t xml:space="preserve">This confusion around thinking and behavior is neither new nor limited to science. Matthew, Mark, and Luke all recount a boy with an evil spirit. Mark 9 reports confusion on the part of everyone involved: the crowd, the teachers, the father, the disciples, but not Christ. Jesus heals a boy with a description seemingly consistent with epilepsy, which is not a mental disorder but a neurologic brain disorder. Jesus then states, “this kind can come out only by prayer” (Mark 9:29). This might imply there are other </w:t>
      </w:r>
      <w:r w:rsidRPr="008F4D07">
        <w:rPr>
          <w:rFonts w:ascii="Palatino Linotype" w:hAnsi="Palatino Linotype"/>
          <w:i/>
          <w:sz w:val="24"/>
          <w:szCs w:val="24"/>
        </w:rPr>
        <w:t xml:space="preserve">kinds </w:t>
      </w:r>
      <w:r w:rsidRPr="008F4D07">
        <w:rPr>
          <w:rFonts w:ascii="Palatino Linotype" w:hAnsi="Palatino Linotype"/>
          <w:sz w:val="24"/>
          <w:szCs w:val="24"/>
        </w:rPr>
        <w:t>of mental problems, to be dealt with in other ways, such as counseling or medication rather than prayer. The “coming out” in this account refers to an evil spirit or demon leaving the boy. This reveals a third dimension to the confused topic, not just my body and my soul, but the possibility of a spirit who is not me. Confusion on the cause and nature of man’s thinking and behavior is not new, but we still desire a good explanation.</w:t>
      </w:r>
    </w:p>
    <w:p w14:paraId="234B7610" w14:textId="77777777" w:rsidR="008F4D07" w:rsidRDefault="008F4D07" w:rsidP="008F4D07">
      <w:pPr>
        <w:rPr>
          <w:rFonts w:ascii="Palatino Linotype" w:hAnsi="Palatino Linotype"/>
          <w:b/>
          <w:bCs/>
          <w:sz w:val="24"/>
          <w:szCs w:val="24"/>
        </w:rPr>
      </w:pPr>
    </w:p>
    <w:p w14:paraId="24CC1056" w14:textId="348D142B" w:rsidR="008F4D07" w:rsidRPr="008F4D07" w:rsidRDefault="008F4D07" w:rsidP="008F4D07">
      <w:pPr>
        <w:jc w:val="center"/>
        <w:rPr>
          <w:rFonts w:ascii="Palatino Linotype" w:hAnsi="Palatino Linotype"/>
          <w:b/>
          <w:bCs/>
          <w:sz w:val="24"/>
          <w:szCs w:val="24"/>
        </w:rPr>
      </w:pPr>
      <w:r w:rsidRPr="008F4D07">
        <w:rPr>
          <w:rFonts w:ascii="Palatino Linotype" w:hAnsi="Palatino Linotype"/>
          <w:b/>
          <w:bCs/>
          <w:sz w:val="24"/>
          <w:szCs w:val="24"/>
        </w:rPr>
        <w:t>The Brain Is Not the Mind</w:t>
      </w:r>
    </w:p>
    <w:p w14:paraId="439B66CB" w14:textId="34A11C7E" w:rsidR="008F4D07" w:rsidRDefault="008F4D07" w:rsidP="008F4D07">
      <w:pPr>
        <w:ind w:firstLine="720"/>
        <w:rPr>
          <w:rFonts w:ascii="Palatino Linotype" w:hAnsi="Palatino Linotype"/>
          <w:sz w:val="24"/>
          <w:szCs w:val="24"/>
        </w:rPr>
      </w:pPr>
      <w:r w:rsidRPr="008F4D07">
        <w:rPr>
          <w:rFonts w:ascii="Palatino Linotype" w:hAnsi="Palatino Linotype"/>
          <w:sz w:val="24"/>
          <w:szCs w:val="24"/>
        </w:rPr>
        <w:t xml:space="preserve">J. P. Moreland, in his book, </w:t>
      </w:r>
      <w:r w:rsidRPr="008F4D07">
        <w:rPr>
          <w:rFonts w:ascii="Palatino Linotype" w:hAnsi="Palatino Linotype"/>
          <w:i/>
          <w:sz w:val="24"/>
          <w:szCs w:val="24"/>
        </w:rPr>
        <w:t xml:space="preserve">The Soul: How We Know It’s Real and Why It Matters, </w:t>
      </w:r>
      <w:r w:rsidRPr="008F4D07">
        <w:rPr>
          <w:rFonts w:ascii="Palatino Linotype" w:hAnsi="Palatino Linotype"/>
          <w:sz w:val="24"/>
          <w:szCs w:val="24"/>
        </w:rPr>
        <w:t>discusses the fact that consciousness (mental activity) is not the same as the physical brain and its chemicals.</w:t>
      </w:r>
      <w:r>
        <w:rPr>
          <w:rStyle w:val="FootnoteReference"/>
          <w:rFonts w:ascii="Palatino Linotype" w:hAnsi="Palatino Linotype"/>
          <w:sz w:val="24"/>
          <w:szCs w:val="24"/>
        </w:rPr>
        <w:footnoteReference w:id="280"/>
      </w:r>
      <w:r w:rsidRPr="008F4D07">
        <w:rPr>
          <w:rFonts w:ascii="Palatino Linotype" w:hAnsi="Palatino Linotype"/>
          <w:sz w:val="24"/>
          <w:szCs w:val="24"/>
        </w:rPr>
        <w:t xml:space="preserve"> Thoughts or thinking in this life somehow relate to the brain, but are not the brain. Mental activity </w:t>
      </w:r>
      <w:r w:rsidRPr="008F4D07">
        <w:rPr>
          <w:rFonts w:ascii="Palatino Linotype" w:hAnsi="Palatino Linotype"/>
          <w:i/>
          <w:sz w:val="24"/>
          <w:szCs w:val="24"/>
        </w:rPr>
        <w:t xml:space="preserve">and </w:t>
      </w:r>
      <w:r w:rsidRPr="008F4D07">
        <w:rPr>
          <w:rFonts w:ascii="Palatino Linotype" w:hAnsi="Palatino Linotype"/>
          <w:sz w:val="24"/>
          <w:szCs w:val="24"/>
        </w:rPr>
        <w:t>mental illness exist at the crossroads of physicality and spiritualty.</w:t>
      </w:r>
    </w:p>
    <w:p w14:paraId="664EA1A8" w14:textId="77777777" w:rsidR="008F4D07" w:rsidRPr="008F4D07" w:rsidRDefault="008F4D07" w:rsidP="008F4D07">
      <w:pPr>
        <w:ind w:firstLine="720"/>
        <w:rPr>
          <w:rFonts w:ascii="Palatino Linotype" w:hAnsi="Palatino Linotype"/>
          <w:sz w:val="24"/>
          <w:szCs w:val="24"/>
        </w:rPr>
      </w:pPr>
    </w:p>
    <w:p w14:paraId="3BC35263" w14:textId="55A609EB" w:rsidR="008F4D07" w:rsidRPr="008F4D07" w:rsidRDefault="008F4D07" w:rsidP="008F4D07">
      <w:pPr>
        <w:ind w:firstLine="720"/>
        <w:rPr>
          <w:rFonts w:ascii="Palatino Linotype" w:hAnsi="Palatino Linotype"/>
          <w:sz w:val="24"/>
          <w:szCs w:val="24"/>
        </w:rPr>
      </w:pPr>
      <w:r w:rsidRPr="008F4D07">
        <w:rPr>
          <w:rFonts w:ascii="Palatino Linotype" w:hAnsi="Palatino Linotype"/>
          <w:sz w:val="24"/>
          <w:szCs w:val="24"/>
        </w:rPr>
        <w:lastRenderedPageBreak/>
        <w:t>Dr. Lieberman freely admits we must “embrace both the mind and brain simultaneously.”</w:t>
      </w:r>
      <w:r>
        <w:rPr>
          <w:rStyle w:val="FootnoteReference"/>
          <w:rFonts w:ascii="Palatino Linotype" w:hAnsi="Palatino Linotype"/>
          <w:sz w:val="24"/>
          <w:szCs w:val="24"/>
        </w:rPr>
        <w:footnoteReference w:id="281"/>
      </w:r>
      <w:r w:rsidRPr="008F4D07">
        <w:rPr>
          <w:rFonts w:ascii="Palatino Linotype" w:hAnsi="Palatino Linotype"/>
          <w:sz w:val="24"/>
          <w:szCs w:val="24"/>
        </w:rPr>
        <w:t xml:space="preserve"> His statement unintentionally embraces the biblical anthropology of man regarding body and soul. In this life, humans are an alloy of body and soul that cannot be divided. An alloy reduced to its constituent parts is no longer the alloy. Man divided is no longer man. While in this life there is no clear demarcation between the body and soul, yet both exist. This point is paramount in attempting to understand any human issue or problem, including mental conditions.</w:t>
      </w:r>
    </w:p>
    <w:p w14:paraId="7C636115" w14:textId="77777777" w:rsidR="008F4D07" w:rsidRDefault="008F4D07" w:rsidP="008F4D07">
      <w:pPr>
        <w:ind w:firstLine="720"/>
        <w:rPr>
          <w:rFonts w:ascii="Palatino Linotype" w:hAnsi="Palatino Linotype"/>
          <w:sz w:val="24"/>
          <w:szCs w:val="24"/>
        </w:rPr>
      </w:pPr>
    </w:p>
    <w:p w14:paraId="4F3C753C" w14:textId="43D3B7ED" w:rsidR="008F4D07" w:rsidRPr="008F4D07" w:rsidRDefault="008F4D07" w:rsidP="008F4D07">
      <w:pPr>
        <w:ind w:firstLine="720"/>
        <w:rPr>
          <w:rFonts w:ascii="Palatino Linotype" w:hAnsi="Palatino Linotype"/>
          <w:sz w:val="24"/>
          <w:szCs w:val="24"/>
        </w:rPr>
      </w:pPr>
      <w:r w:rsidRPr="008F4D07">
        <w:rPr>
          <w:rFonts w:ascii="Palatino Linotype" w:hAnsi="Palatino Linotype"/>
          <w:sz w:val="24"/>
          <w:szCs w:val="24"/>
        </w:rPr>
        <w:t>The soul, once kindled into being at conception, is the permanent component of a person. Our soul is the only piece of our current state of being which can, and will, arrive in heaven or hell. C. S. Lewis characterized it this way when referring to his late wife, “If H. ‘is not’, then she never was. I mistook a cloud of atoms for a person.”</w:t>
      </w:r>
      <w:r>
        <w:rPr>
          <w:rStyle w:val="FootnoteReference"/>
          <w:rFonts w:ascii="Palatino Linotype" w:hAnsi="Palatino Linotype"/>
          <w:sz w:val="24"/>
          <w:szCs w:val="24"/>
        </w:rPr>
        <w:footnoteReference w:id="282"/>
      </w:r>
      <w:r w:rsidRPr="008F4D07">
        <w:rPr>
          <w:rFonts w:ascii="Palatino Linotype" w:hAnsi="Palatino Linotype"/>
          <w:sz w:val="24"/>
          <w:szCs w:val="24"/>
        </w:rPr>
        <w:t>People are not and cannot be reduced to complex chemical machines. We operate on free will, not just an unalterable chain of chemical reactions.</w:t>
      </w:r>
    </w:p>
    <w:p w14:paraId="5D6A4D65" w14:textId="77777777" w:rsidR="008F4D07" w:rsidRPr="008F4D07" w:rsidRDefault="008F4D07" w:rsidP="008F4D07">
      <w:pPr>
        <w:ind w:firstLine="720"/>
        <w:rPr>
          <w:rFonts w:ascii="Palatino Linotype" w:hAnsi="Palatino Linotype"/>
          <w:sz w:val="24"/>
          <w:szCs w:val="24"/>
        </w:rPr>
      </w:pPr>
    </w:p>
    <w:p w14:paraId="52280A49" w14:textId="77777777" w:rsidR="008F4D07" w:rsidRPr="008F4D07" w:rsidRDefault="008F4D07" w:rsidP="008F4D07">
      <w:pPr>
        <w:ind w:firstLine="720"/>
        <w:rPr>
          <w:rFonts w:ascii="Palatino Linotype" w:hAnsi="Palatino Linotype"/>
          <w:sz w:val="24"/>
          <w:szCs w:val="24"/>
        </w:rPr>
      </w:pPr>
    </w:p>
    <w:p w14:paraId="651F7041" w14:textId="77777777" w:rsidR="008F4D07" w:rsidRDefault="008F4D07" w:rsidP="008F4D07">
      <w:pPr>
        <w:jc w:val="center"/>
        <w:rPr>
          <w:rFonts w:ascii="Palatino Linotype" w:hAnsi="Palatino Linotype"/>
          <w:b/>
          <w:bCs/>
          <w:sz w:val="24"/>
          <w:szCs w:val="24"/>
        </w:rPr>
      </w:pPr>
      <w:r w:rsidRPr="008F4D07">
        <w:rPr>
          <w:rFonts w:ascii="Palatino Linotype" w:hAnsi="Palatino Linotype"/>
          <w:b/>
          <w:bCs/>
          <w:sz w:val="24"/>
          <w:szCs w:val="24"/>
        </w:rPr>
        <w:t>Science and Chemicals</w:t>
      </w:r>
    </w:p>
    <w:p w14:paraId="3977DDA1" w14:textId="77777777" w:rsidR="00930D6D" w:rsidRPr="008F4D07" w:rsidRDefault="00930D6D" w:rsidP="008F4D07">
      <w:pPr>
        <w:jc w:val="center"/>
        <w:rPr>
          <w:rFonts w:ascii="Palatino Linotype" w:hAnsi="Palatino Linotype"/>
          <w:b/>
          <w:bCs/>
          <w:sz w:val="24"/>
          <w:szCs w:val="24"/>
        </w:rPr>
      </w:pPr>
    </w:p>
    <w:p w14:paraId="77CFDA2C" w14:textId="217F3ADD" w:rsidR="008F4D07" w:rsidRPr="008F4D07" w:rsidRDefault="008F4D07" w:rsidP="00930D6D">
      <w:pPr>
        <w:ind w:firstLine="720"/>
        <w:rPr>
          <w:rFonts w:ascii="Palatino Linotype" w:hAnsi="Palatino Linotype"/>
          <w:sz w:val="24"/>
          <w:szCs w:val="24"/>
        </w:rPr>
      </w:pPr>
      <w:r w:rsidRPr="008F4D07">
        <w:rPr>
          <w:rFonts w:ascii="Palatino Linotype" w:hAnsi="Palatino Linotype"/>
          <w:sz w:val="24"/>
          <w:szCs w:val="24"/>
        </w:rPr>
        <w:t>The purpose for science is to understand the natural world in which we exist. This mandate</w:t>
      </w:r>
      <w:r w:rsidR="00930D6D">
        <w:rPr>
          <w:rFonts w:ascii="Palatino Linotype" w:hAnsi="Palatino Linotype"/>
          <w:sz w:val="24"/>
          <w:szCs w:val="24"/>
        </w:rPr>
        <w:t xml:space="preserve"> </w:t>
      </w:r>
      <w:r w:rsidRPr="008F4D07">
        <w:rPr>
          <w:rFonts w:ascii="Palatino Linotype" w:hAnsi="Palatino Linotype"/>
          <w:sz w:val="24"/>
          <w:szCs w:val="24"/>
        </w:rPr>
        <w:t>arises in Genesis 1:28 with the command to “subdue” creation. Unfortunately, the modern paradigm of science uses Methodological Naturalism (MN) in its quest for discovery.</w:t>
      </w:r>
      <w:r w:rsidR="00930D6D">
        <w:rPr>
          <w:rStyle w:val="FootnoteReference"/>
          <w:rFonts w:ascii="Palatino Linotype" w:hAnsi="Palatino Linotype"/>
          <w:sz w:val="24"/>
          <w:szCs w:val="24"/>
        </w:rPr>
        <w:footnoteReference w:id="283"/>
      </w:r>
      <w:r w:rsidRPr="008F4D07">
        <w:rPr>
          <w:rFonts w:ascii="Palatino Linotype" w:hAnsi="Palatino Linotype"/>
          <w:sz w:val="24"/>
          <w:szCs w:val="24"/>
        </w:rPr>
        <w:t xml:space="preserve"> In a nutshell, MN assumes everything can be explained and operates under non-intelligent material forces of chemistry and physics. MN makes the existence, especially eternal existence, of the soul impossible. Humans are mischaracterized as only chemical without the supernatural soul.</w:t>
      </w:r>
    </w:p>
    <w:p w14:paraId="4B30CB4C" w14:textId="77777777" w:rsidR="00930D6D" w:rsidRDefault="00930D6D" w:rsidP="008F4D07">
      <w:pPr>
        <w:ind w:firstLine="720"/>
        <w:rPr>
          <w:rFonts w:ascii="Palatino Linotype" w:hAnsi="Palatino Linotype"/>
          <w:sz w:val="24"/>
          <w:szCs w:val="24"/>
        </w:rPr>
      </w:pPr>
    </w:p>
    <w:p w14:paraId="7BF1B906" w14:textId="4A416E49" w:rsidR="008F4D07" w:rsidRPr="008F4D07" w:rsidRDefault="008F4D07" w:rsidP="008F4D07">
      <w:pPr>
        <w:ind w:firstLine="720"/>
        <w:rPr>
          <w:rFonts w:ascii="Palatino Linotype" w:hAnsi="Palatino Linotype"/>
          <w:sz w:val="24"/>
          <w:szCs w:val="24"/>
        </w:rPr>
      </w:pPr>
      <w:r w:rsidRPr="008F4D07">
        <w:rPr>
          <w:rFonts w:ascii="Palatino Linotype" w:hAnsi="Palatino Linotype"/>
          <w:sz w:val="24"/>
          <w:szCs w:val="24"/>
        </w:rPr>
        <w:t>Despite this major flaw in most scientific inquiry, we all have benefited. It has freed us from thinking lightning is merely God talking. We have better shelter, faster travel, artificial heart valves, no smallpox, very little polio, and now COVID-19 vaccines. This method of discovery has been useful to humanity, resulting in a cult-like following for science. People are primed to accept what science might theorize.</w:t>
      </w:r>
    </w:p>
    <w:p w14:paraId="7A187984" w14:textId="77777777" w:rsidR="00930D6D" w:rsidRDefault="00930D6D" w:rsidP="008F4D07">
      <w:pPr>
        <w:ind w:firstLine="720"/>
        <w:rPr>
          <w:rFonts w:ascii="Palatino Linotype" w:hAnsi="Palatino Linotype"/>
          <w:sz w:val="24"/>
          <w:szCs w:val="24"/>
        </w:rPr>
      </w:pPr>
    </w:p>
    <w:p w14:paraId="035422BB" w14:textId="4C4B26B3" w:rsidR="008F4D07" w:rsidRPr="008F4D07" w:rsidRDefault="008F4D07" w:rsidP="008F4D07">
      <w:pPr>
        <w:ind w:firstLine="720"/>
        <w:rPr>
          <w:rFonts w:ascii="Palatino Linotype" w:hAnsi="Palatino Linotype"/>
          <w:sz w:val="24"/>
          <w:szCs w:val="24"/>
        </w:rPr>
      </w:pPr>
      <w:r w:rsidRPr="008F4D07">
        <w:rPr>
          <w:rFonts w:ascii="Palatino Linotype" w:hAnsi="Palatino Linotype"/>
          <w:sz w:val="24"/>
          <w:szCs w:val="24"/>
        </w:rPr>
        <w:t xml:space="preserve">Scientific and technologic advancement has regrettably come with potential for great harm. Romans 1:18-23 warns that as we accumulate knowledge, we will begin to </w:t>
      </w:r>
      <w:r w:rsidRPr="008F4D07">
        <w:rPr>
          <w:rFonts w:ascii="Palatino Linotype" w:hAnsi="Palatino Linotype"/>
          <w:sz w:val="24"/>
          <w:szCs w:val="24"/>
        </w:rPr>
        <w:lastRenderedPageBreak/>
        <w:t>suppress the truth about the source of all things, which includes even our ability to inquire. Like the making of bricks in Genesis 11, man becomes intoxicated with his accomplishments. The very reason for our ability, being made in the image of God, becomes eclipsed. This common error of scientists does not negate the benefit of science. Similar to Genesis, the error was not in inventing the brick, but in the attitude of the brick maker.</w:t>
      </w:r>
    </w:p>
    <w:p w14:paraId="4DC503AD" w14:textId="77777777" w:rsidR="008F4D07" w:rsidRPr="008F4D07" w:rsidRDefault="008F4D07" w:rsidP="008F4D07">
      <w:pPr>
        <w:ind w:firstLine="720"/>
        <w:rPr>
          <w:rFonts w:ascii="Palatino Linotype" w:hAnsi="Palatino Linotype"/>
          <w:sz w:val="24"/>
          <w:szCs w:val="24"/>
        </w:rPr>
      </w:pPr>
    </w:p>
    <w:p w14:paraId="77798947" w14:textId="77777777" w:rsidR="008F4D07" w:rsidRDefault="008F4D07" w:rsidP="00930D6D">
      <w:pPr>
        <w:jc w:val="center"/>
        <w:rPr>
          <w:rFonts w:ascii="Palatino Linotype" w:hAnsi="Palatino Linotype"/>
          <w:b/>
          <w:bCs/>
          <w:sz w:val="24"/>
          <w:szCs w:val="24"/>
        </w:rPr>
      </w:pPr>
      <w:r w:rsidRPr="008F4D07">
        <w:rPr>
          <w:rFonts w:ascii="Palatino Linotype" w:hAnsi="Palatino Linotype"/>
          <w:b/>
          <w:bCs/>
          <w:sz w:val="24"/>
          <w:szCs w:val="24"/>
        </w:rPr>
        <w:t>Man Has Chemicals</w:t>
      </w:r>
    </w:p>
    <w:p w14:paraId="76A18B66" w14:textId="77777777" w:rsidR="00930D6D" w:rsidRPr="008F4D07" w:rsidRDefault="00930D6D" w:rsidP="00930D6D">
      <w:pPr>
        <w:jc w:val="center"/>
        <w:rPr>
          <w:rFonts w:ascii="Palatino Linotype" w:hAnsi="Palatino Linotype"/>
          <w:b/>
          <w:bCs/>
          <w:sz w:val="24"/>
          <w:szCs w:val="24"/>
        </w:rPr>
      </w:pPr>
    </w:p>
    <w:p w14:paraId="0C94525F" w14:textId="77777777" w:rsidR="008F4D07" w:rsidRDefault="008F4D07" w:rsidP="008F4D07">
      <w:pPr>
        <w:ind w:firstLine="720"/>
        <w:rPr>
          <w:rFonts w:ascii="Palatino Linotype" w:hAnsi="Palatino Linotype"/>
          <w:sz w:val="24"/>
          <w:szCs w:val="24"/>
        </w:rPr>
      </w:pPr>
      <w:r w:rsidRPr="008F4D07">
        <w:rPr>
          <w:rFonts w:ascii="Palatino Linotype" w:hAnsi="Palatino Linotype"/>
          <w:sz w:val="24"/>
          <w:szCs w:val="24"/>
        </w:rPr>
        <w:t>While science has overlooked the immaterial, we Christians must not overlook the physical. Possibly more perceptible than our immaterial component is our material component. We can easily see our hand in front of our eyes. All we need to do is stub our toes and we understand physicality! These physical bodies are made of chemicals. We also know that chemicals, for example alcohol, anesthesia, and hormones, affect our material brains and therefore our thinking and behavior. Physical damage to the brain, such as trauma, stroke, or dementia, also affects cognition and behavior. Not everything is supernatural.</w:t>
      </w:r>
    </w:p>
    <w:p w14:paraId="42161B44" w14:textId="77777777" w:rsidR="00930D6D" w:rsidRPr="008F4D07" w:rsidRDefault="00930D6D" w:rsidP="008F4D07">
      <w:pPr>
        <w:ind w:firstLine="720"/>
        <w:rPr>
          <w:rFonts w:ascii="Palatino Linotype" w:hAnsi="Palatino Linotype"/>
          <w:sz w:val="24"/>
          <w:szCs w:val="24"/>
        </w:rPr>
      </w:pPr>
    </w:p>
    <w:p w14:paraId="3128B771" w14:textId="77777777" w:rsidR="008F4D07" w:rsidRDefault="008F4D07" w:rsidP="008F4D07">
      <w:pPr>
        <w:ind w:firstLine="720"/>
        <w:rPr>
          <w:rFonts w:ascii="Palatino Linotype" w:hAnsi="Palatino Linotype"/>
          <w:sz w:val="24"/>
          <w:szCs w:val="24"/>
        </w:rPr>
      </w:pPr>
      <w:r w:rsidRPr="008F4D07">
        <w:rPr>
          <w:rFonts w:ascii="Palatino Linotype" w:hAnsi="Palatino Linotype"/>
          <w:sz w:val="24"/>
          <w:szCs w:val="24"/>
        </w:rPr>
        <w:t>Chemicals in the human brain are referred to as our neurotransmitters. These chemicals operate in, and are essential to, our brains. Understanding the backstory can be useful to understanding where we find ourselves today regarding chemical imbalance in the brain and neurotransmitters.</w:t>
      </w:r>
    </w:p>
    <w:p w14:paraId="35E7F675" w14:textId="77777777" w:rsidR="00930D6D" w:rsidRPr="008F4D07" w:rsidRDefault="00930D6D" w:rsidP="008F4D07">
      <w:pPr>
        <w:ind w:firstLine="720"/>
        <w:rPr>
          <w:rFonts w:ascii="Palatino Linotype" w:hAnsi="Palatino Linotype"/>
          <w:sz w:val="24"/>
          <w:szCs w:val="24"/>
        </w:rPr>
      </w:pPr>
    </w:p>
    <w:p w14:paraId="021234FC" w14:textId="44597079" w:rsidR="008F4D07" w:rsidRPr="008F4D07" w:rsidRDefault="008F4D07" w:rsidP="008F4D07">
      <w:pPr>
        <w:ind w:firstLine="720"/>
        <w:rPr>
          <w:rFonts w:ascii="Palatino Linotype" w:hAnsi="Palatino Linotype"/>
          <w:sz w:val="24"/>
          <w:szCs w:val="24"/>
        </w:rPr>
      </w:pPr>
      <w:r w:rsidRPr="008F4D07">
        <w:rPr>
          <w:rFonts w:ascii="Palatino Linotype" w:hAnsi="Palatino Linotype"/>
          <w:sz w:val="24"/>
          <w:szCs w:val="24"/>
        </w:rPr>
        <w:t>The modern story begins at London’s Bethlem Hospital.</w:t>
      </w:r>
      <w:r w:rsidR="00930D6D">
        <w:rPr>
          <w:rStyle w:val="FootnoteReference"/>
          <w:rFonts w:ascii="Palatino Linotype" w:hAnsi="Palatino Linotype"/>
          <w:sz w:val="24"/>
          <w:szCs w:val="24"/>
        </w:rPr>
        <w:footnoteReference w:id="284"/>
      </w:r>
      <w:r w:rsidRPr="008F4D07">
        <w:rPr>
          <w:rFonts w:ascii="Palatino Linotype" w:hAnsi="Palatino Linotype"/>
          <w:sz w:val="24"/>
          <w:szCs w:val="24"/>
        </w:rPr>
        <w:t xml:space="preserve"> This institution, founded by a religious order, had its roots in the 13th-century as an early place to care for people with needs. By the 1600s, it was a place where individuals suffering from “lunacy” found care. It was a place of safety for individuals who had significant potential for harming both self and others. The term bedlam, referring to chaos, arose from an iteration of the name Bethlem. Bethlem had become exclusively an asylum for those referred to as “mad.”</w:t>
      </w:r>
    </w:p>
    <w:p w14:paraId="1FDE7E41" w14:textId="184E68DE" w:rsidR="008F4D07" w:rsidRDefault="008F4D07" w:rsidP="008F4D07">
      <w:pPr>
        <w:ind w:firstLine="720"/>
        <w:rPr>
          <w:rFonts w:ascii="Palatino Linotype" w:hAnsi="Palatino Linotype"/>
          <w:sz w:val="24"/>
          <w:szCs w:val="24"/>
        </w:rPr>
      </w:pPr>
    </w:p>
    <w:p w14:paraId="5CE73B9A" w14:textId="6AFA5F71" w:rsidR="006970D2" w:rsidRPr="006970D2" w:rsidRDefault="006970D2" w:rsidP="006970D2">
      <w:pPr>
        <w:ind w:firstLine="720"/>
        <w:rPr>
          <w:rFonts w:ascii="Palatino Linotype" w:hAnsi="Palatino Linotype"/>
          <w:sz w:val="24"/>
          <w:szCs w:val="24"/>
        </w:rPr>
      </w:pPr>
      <w:r w:rsidRPr="006970D2">
        <w:rPr>
          <w:rFonts w:ascii="Palatino Linotype" w:hAnsi="Palatino Linotype"/>
          <w:sz w:val="24"/>
          <w:szCs w:val="24"/>
        </w:rPr>
        <w:t>In 1952, Chlorpromazine was explored for its effect to reduce agitation.</w:t>
      </w:r>
      <w:r w:rsidR="00DB47F1">
        <w:rPr>
          <w:rStyle w:val="FootnoteReference"/>
          <w:rFonts w:ascii="Palatino Linotype" w:hAnsi="Palatino Linotype"/>
          <w:sz w:val="24"/>
          <w:szCs w:val="24"/>
        </w:rPr>
        <w:footnoteReference w:id="285"/>
      </w:r>
      <w:r w:rsidRPr="006970D2">
        <w:rPr>
          <w:rFonts w:ascii="Palatino Linotype" w:hAnsi="Palatino Linotype"/>
          <w:sz w:val="24"/>
          <w:szCs w:val="24"/>
        </w:rPr>
        <w:t xml:space="preserve"> It was first used in Paris on an agitated and psychotic (not in touch with reality) young male who subsequently resumed normal life. Chlorpromazine began to replace narcotics, barbiturates, and shock therapy to help psychotic patients resume normal life. </w:t>
      </w:r>
      <w:r w:rsidRPr="006970D2">
        <w:rPr>
          <w:rFonts w:ascii="Palatino Linotype" w:hAnsi="Palatino Linotype"/>
          <w:sz w:val="24"/>
          <w:szCs w:val="24"/>
        </w:rPr>
        <w:lastRenderedPageBreak/>
        <w:t>Humanitarian relief and the new anti-psychotic medication reduced the population of insane asylums by estimates of greater than 50 percent.</w:t>
      </w:r>
    </w:p>
    <w:p w14:paraId="16CC7742" w14:textId="77777777" w:rsidR="00DB47F1" w:rsidRDefault="00DB47F1" w:rsidP="006970D2">
      <w:pPr>
        <w:ind w:firstLine="720"/>
        <w:rPr>
          <w:rFonts w:ascii="Palatino Linotype" w:hAnsi="Palatino Linotype"/>
          <w:sz w:val="24"/>
          <w:szCs w:val="24"/>
        </w:rPr>
      </w:pPr>
    </w:p>
    <w:p w14:paraId="2DE65BBD" w14:textId="0D307385" w:rsidR="006970D2" w:rsidRPr="006970D2" w:rsidRDefault="006970D2" w:rsidP="006970D2">
      <w:pPr>
        <w:ind w:firstLine="720"/>
        <w:rPr>
          <w:rFonts w:ascii="Palatino Linotype" w:hAnsi="Palatino Linotype"/>
          <w:sz w:val="24"/>
          <w:szCs w:val="24"/>
        </w:rPr>
      </w:pPr>
      <w:r w:rsidRPr="006970D2">
        <w:rPr>
          <w:rFonts w:ascii="Palatino Linotype" w:hAnsi="Palatino Linotype"/>
          <w:sz w:val="24"/>
          <w:szCs w:val="24"/>
        </w:rPr>
        <w:t>Subsequent understanding that chlorpromazine affects dopamine’s action on the brain began the concept of chemical imbalance in this population.</w:t>
      </w:r>
      <w:r w:rsidR="00DB47F1">
        <w:rPr>
          <w:rStyle w:val="FootnoteReference"/>
          <w:rFonts w:ascii="Palatino Linotype" w:hAnsi="Palatino Linotype"/>
          <w:sz w:val="24"/>
          <w:szCs w:val="24"/>
        </w:rPr>
        <w:footnoteReference w:id="286"/>
      </w:r>
      <w:r w:rsidRPr="006970D2">
        <w:rPr>
          <w:rFonts w:ascii="Palatino Linotype" w:hAnsi="Palatino Linotype"/>
          <w:sz w:val="24"/>
          <w:szCs w:val="24"/>
        </w:rPr>
        <w:t xml:space="preserve"> In the years to follow, multiple medications have been used in multiple mental health problems, with the continued assumption in the public’s mind of chemical imbalance. Despite no actual proof of chemical imbalance, the theory was born and continues from the original beneficial effect of chlorpromazine on psychosis. The field of neuropharmacology exists because brains have chemicals and chemicals can affect the brain.</w:t>
      </w:r>
    </w:p>
    <w:p w14:paraId="6F3B8828" w14:textId="77777777" w:rsidR="00DB47F1" w:rsidRDefault="00DB47F1" w:rsidP="006970D2">
      <w:pPr>
        <w:ind w:firstLine="720"/>
        <w:rPr>
          <w:rFonts w:ascii="Palatino Linotype" w:hAnsi="Palatino Linotype"/>
          <w:sz w:val="24"/>
          <w:szCs w:val="24"/>
        </w:rPr>
      </w:pPr>
    </w:p>
    <w:p w14:paraId="795A1E80" w14:textId="3D07CC75" w:rsidR="006970D2" w:rsidRPr="006970D2" w:rsidRDefault="006970D2" w:rsidP="006970D2">
      <w:pPr>
        <w:ind w:firstLine="720"/>
        <w:rPr>
          <w:rFonts w:ascii="Palatino Linotype" w:hAnsi="Palatino Linotype"/>
          <w:sz w:val="24"/>
          <w:szCs w:val="24"/>
        </w:rPr>
      </w:pPr>
      <w:r w:rsidRPr="006970D2">
        <w:rPr>
          <w:rFonts w:ascii="Palatino Linotype" w:hAnsi="Palatino Linotype"/>
          <w:sz w:val="24"/>
          <w:szCs w:val="24"/>
        </w:rPr>
        <w:t>Dopamine is a major neurotransmitter in the brain, as is histamine, serotonin, norepinephrine, GABA and 100-plus others. Histamine is a wake promoting neurotransmitter. The reader may have personally experienced drowsiness after taking the anti-histamine medication Benadryl. Some drink milk before bed in hopes of sleeping better. Milk contains tryptophan, which is a precursor to serotonin, a neurotransmitter involved in sleep. Brain dopamine, another neurotransmitter, is implicated in pleasure, reward, and memory, contributing to the theory of its potential role in addiction. The human brain has chemicals and is affected by chemicals, but imbalance of these chemicals in mental conditions has not yet been proven.</w:t>
      </w:r>
    </w:p>
    <w:p w14:paraId="0181E7B9" w14:textId="77777777" w:rsidR="00DB47F1" w:rsidRDefault="00DB47F1" w:rsidP="00DB47F1">
      <w:pPr>
        <w:rPr>
          <w:rFonts w:ascii="Palatino Linotype" w:hAnsi="Palatino Linotype"/>
          <w:sz w:val="24"/>
          <w:szCs w:val="24"/>
        </w:rPr>
      </w:pPr>
    </w:p>
    <w:p w14:paraId="41920680" w14:textId="59E356B3" w:rsidR="006970D2" w:rsidRPr="006970D2" w:rsidRDefault="006970D2" w:rsidP="00DB47F1">
      <w:pPr>
        <w:jc w:val="center"/>
        <w:rPr>
          <w:rFonts w:ascii="Palatino Linotype" w:hAnsi="Palatino Linotype"/>
          <w:b/>
          <w:bCs/>
          <w:sz w:val="24"/>
          <w:szCs w:val="24"/>
        </w:rPr>
      </w:pPr>
      <w:r w:rsidRPr="006970D2">
        <w:rPr>
          <w:rFonts w:ascii="Palatino Linotype" w:hAnsi="Palatino Linotype"/>
          <w:b/>
          <w:bCs/>
          <w:sz w:val="24"/>
          <w:szCs w:val="24"/>
        </w:rPr>
        <w:t>Human Desire and Motivation</w:t>
      </w:r>
    </w:p>
    <w:p w14:paraId="1A10384A" w14:textId="534896D7" w:rsidR="006970D2" w:rsidRPr="006970D2" w:rsidRDefault="006970D2" w:rsidP="006970D2">
      <w:pPr>
        <w:ind w:firstLine="720"/>
        <w:rPr>
          <w:rFonts w:ascii="Palatino Linotype" w:hAnsi="Palatino Linotype"/>
          <w:sz w:val="24"/>
          <w:szCs w:val="24"/>
        </w:rPr>
      </w:pPr>
      <w:r w:rsidRPr="006970D2">
        <w:rPr>
          <w:rFonts w:ascii="Palatino Linotype" w:hAnsi="Palatino Linotype"/>
          <w:sz w:val="24"/>
          <w:szCs w:val="24"/>
        </w:rPr>
        <w:t xml:space="preserve">Faced with a choice of a pill or counseling, what would most people choose? Unfortunately, the human heart is selfish and is most often motivated to pursue personal pleasure (Romans 8:5). Most humans would rather take a pill than actually do work to effect change. The suffering individual would much prefer a daily pill to any other therapeutic modality. In Philip Rieff’s book, </w:t>
      </w:r>
      <w:r w:rsidRPr="006970D2">
        <w:rPr>
          <w:rFonts w:ascii="Palatino Linotype" w:hAnsi="Palatino Linotype"/>
          <w:i/>
          <w:sz w:val="24"/>
          <w:szCs w:val="24"/>
        </w:rPr>
        <w:t>The Triumph of the Therapeutic</w:t>
      </w:r>
      <w:r w:rsidRPr="006970D2">
        <w:rPr>
          <w:rFonts w:ascii="Palatino Linotype" w:hAnsi="Palatino Linotype"/>
          <w:sz w:val="24"/>
          <w:szCs w:val="24"/>
        </w:rPr>
        <w:t>, he equates therapy with methods of healing and consolation for the miseries of living.</w:t>
      </w:r>
      <w:r w:rsidR="00DB47F1">
        <w:rPr>
          <w:rStyle w:val="FootnoteReference"/>
          <w:rFonts w:ascii="Palatino Linotype" w:hAnsi="Palatino Linotype"/>
          <w:sz w:val="24"/>
          <w:szCs w:val="24"/>
        </w:rPr>
        <w:footnoteReference w:id="287"/>
      </w:r>
      <w:r w:rsidRPr="006970D2">
        <w:rPr>
          <w:rFonts w:ascii="Palatino Linotype" w:hAnsi="Palatino Linotype"/>
          <w:sz w:val="24"/>
          <w:szCs w:val="24"/>
        </w:rPr>
        <w:t xml:space="preserve"> Therapy has now moved from a context of religion to a context of healthcare and science. The therapeutic concept has transitioned misery from an immaterial moral problem to a disease or imbalance. The hope becomes that science will find the answer and they will do something to correct the imbalance for which I am not responsible.</w:t>
      </w:r>
    </w:p>
    <w:p w14:paraId="471EA2B7" w14:textId="77777777" w:rsidR="003D6B41" w:rsidRDefault="003D6B41" w:rsidP="006970D2">
      <w:pPr>
        <w:ind w:firstLine="720"/>
        <w:rPr>
          <w:rFonts w:ascii="Palatino Linotype" w:hAnsi="Palatino Linotype"/>
          <w:sz w:val="24"/>
          <w:szCs w:val="24"/>
        </w:rPr>
      </w:pPr>
    </w:p>
    <w:p w14:paraId="6EDF2E03" w14:textId="080B24E6" w:rsidR="003D6B41" w:rsidRPr="003D6B41" w:rsidRDefault="006970D2" w:rsidP="003D6B41">
      <w:pPr>
        <w:ind w:firstLine="720"/>
        <w:rPr>
          <w:rFonts w:ascii="Palatino Linotype" w:hAnsi="Palatino Linotype"/>
          <w:sz w:val="24"/>
          <w:szCs w:val="24"/>
        </w:rPr>
      </w:pPr>
      <w:r w:rsidRPr="006970D2">
        <w:rPr>
          <w:rFonts w:ascii="Palatino Linotype" w:hAnsi="Palatino Linotype"/>
          <w:sz w:val="24"/>
          <w:szCs w:val="24"/>
        </w:rPr>
        <w:t>A second area of motivation is the desire to help, but once again easy is seen as best. Writing a prescription is a simple and quick task. Counseling takes both parties time and</w:t>
      </w:r>
      <w:r w:rsidR="003D6B41">
        <w:rPr>
          <w:rFonts w:ascii="Palatino Linotype" w:hAnsi="Palatino Linotype"/>
          <w:sz w:val="24"/>
          <w:szCs w:val="24"/>
        </w:rPr>
        <w:t xml:space="preserve"> </w:t>
      </w:r>
      <w:r w:rsidR="003D6B41" w:rsidRPr="003D6B41">
        <w:rPr>
          <w:rFonts w:ascii="Palatino Linotype" w:hAnsi="Palatino Linotype"/>
          <w:sz w:val="24"/>
          <w:szCs w:val="24"/>
        </w:rPr>
        <w:t xml:space="preserve">commitment. Allen Frances, M.D., chairman of the DSM-IV task force in his book </w:t>
      </w:r>
      <w:r w:rsidR="003D6B41" w:rsidRPr="003D6B41">
        <w:rPr>
          <w:rFonts w:ascii="Palatino Linotype" w:hAnsi="Palatino Linotype"/>
          <w:i/>
          <w:sz w:val="24"/>
          <w:szCs w:val="24"/>
        </w:rPr>
        <w:t xml:space="preserve">Saving Normal: An Insider’s Revolt Against Out-of-Control Psychiatric Diagnosis, </w:t>
      </w:r>
      <w:r w:rsidR="003D6B41" w:rsidRPr="003D6B41">
        <w:rPr>
          <w:rFonts w:ascii="Palatino Linotype" w:hAnsi="Palatino Linotype"/>
          <w:i/>
          <w:sz w:val="24"/>
          <w:szCs w:val="24"/>
        </w:rPr>
        <w:lastRenderedPageBreak/>
        <w:t xml:space="preserve">DSM-5, Big Pharma, and the Medicalization of Ordinary Life, </w:t>
      </w:r>
      <w:r w:rsidR="003D6B41" w:rsidRPr="003D6B41">
        <w:rPr>
          <w:rFonts w:ascii="Palatino Linotype" w:hAnsi="Palatino Linotype"/>
          <w:sz w:val="24"/>
          <w:szCs w:val="24"/>
        </w:rPr>
        <w:t>strongly warns that use of medication “short-circuits the traditional pathways of healing.”</w:t>
      </w:r>
      <w:r w:rsidR="00EB11D1">
        <w:rPr>
          <w:rStyle w:val="FootnoteReference"/>
          <w:rFonts w:ascii="Palatino Linotype" w:hAnsi="Palatino Linotype"/>
          <w:sz w:val="24"/>
          <w:szCs w:val="24"/>
        </w:rPr>
        <w:footnoteReference w:id="288"/>
      </w:r>
      <w:r w:rsidR="003D6B41" w:rsidRPr="003D6B41">
        <w:rPr>
          <w:rFonts w:ascii="Palatino Linotype" w:hAnsi="Palatino Linotype"/>
          <w:sz w:val="24"/>
          <w:szCs w:val="24"/>
        </w:rPr>
        <w:t xml:space="preserve"> He places significant blame on the pharmaceutical industry, with the motivation, at least in part, for profit. Big Pharma’s participation in the “therapeutic exchange” brings significant monetary gain to the perpetuation of the chemical imbalance theory.</w:t>
      </w:r>
    </w:p>
    <w:p w14:paraId="02F50B06" w14:textId="77777777" w:rsidR="003D6B41" w:rsidRPr="003D6B41" w:rsidRDefault="003D6B41" w:rsidP="003D6B41">
      <w:pPr>
        <w:ind w:firstLine="720"/>
        <w:rPr>
          <w:rFonts w:ascii="Palatino Linotype" w:hAnsi="Palatino Linotype"/>
          <w:sz w:val="24"/>
          <w:szCs w:val="24"/>
        </w:rPr>
      </w:pPr>
    </w:p>
    <w:p w14:paraId="0DB4A83E" w14:textId="77777777" w:rsidR="003D6B41" w:rsidRPr="003D6B41" w:rsidRDefault="003D6B41" w:rsidP="003D6B41">
      <w:pPr>
        <w:ind w:firstLine="720"/>
        <w:rPr>
          <w:rFonts w:ascii="Palatino Linotype" w:hAnsi="Palatino Linotype"/>
          <w:sz w:val="24"/>
          <w:szCs w:val="24"/>
        </w:rPr>
      </w:pPr>
    </w:p>
    <w:p w14:paraId="66A71BCE" w14:textId="77777777" w:rsidR="003D6B41" w:rsidRDefault="003D6B41" w:rsidP="00EB11D1">
      <w:pPr>
        <w:jc w:val="center"/>
        <w:rPr>
          <w:rFonts w:ascii="Palatino Linotype" w:hAnsi="Palatino Linotype"/>
          <w:b/>
          <w:bCs/>
          <w:sz w:val="24"/>
          <w:szCs w:val="24"/>
        </w:rPr>
      </w:pPr>
      <w:r w:rsidRPr="003D6B41">
        <w:rPr>
          <w:rFonts w:ascii="Palatino Linotype" w:hAnsi="Palatino Linotype"/>
          <w:b/>
          <w:bCs/>
          <w:sz w:val="24"/>
          <w:szCs w:val="24"/>
        </w:rPr>
        <w:t>Expectations and Clinical Effects</w:t>
      </w:r>
    </w:p>
    <w:p w14:paraId="310644A2" w14:textId="77777777" w:rsidR="00EB11D1" w:rsidRPr="003D6B41" w:rsidRDefault="00EB11D1" w:rsidP="00EB11D1">
      <w:pPr>
        <w:jc w:val="center"/>
        <w:rPr>
          <w:rFonts w:ascii="Palatino Linotype" w:hAnsi="Palatino Linotype"/>
          <w:b/>
          <w:bCs/>
          <w:sz w:val="24"/>
          <w:szCs w:val="24"/>
        </w:rPr>
      </w:pPr>
    </w:p>
    <w:p w14:paraId="15E3195B" w14:textId="44A8201D" w:rsidR="003D6B41" w:rsidRDefault="003D6B41" w:rsidP="00EB11D1">
      <w:pPr>
        <w:ind w:firstLine="720"/>
        <w:rPr>
          <w:rFonts w:ascii="Palatino Linotype" w:hAnsi="Palatino Linotype"/>
          <w:sz w:val="24"/>
          <w:szCs w:val="24"/>
        </w:rPr>
      </w:pPr>
      <w:r w:rsidRPr="003D6B41">
        <w:rPr>
          <w:rFonts w:ascii="Palatino Linotype" w:hAnsi="Palatino Linotype"/>
          <w:sz w:val="24"/>
          <w:szCs w:val="24"/>
        </w:rPr>
        <w:t>A placebo is inactive substance with the suggestion of activity. Based upon expectation, a placebo can have a powerful effect. In a classic study demonstrating expectation effects,</w:t>
      </w:r>
      <w:r w:rsidR="00EB11D1">
        <w:rPr>
          <w:rFonts w:ascii="Palatino Linotype" w:hAnsi="Palatino Linotype"/>
          <w:sz w:val="24"/>
          <w:szCs w:val="24"/>
        </w:rPr>
        <w:t xml:space="preserve"> </w:t>
      </w:r>
      <w:r w:rsidRPr="003D6B41">
        <w:rPr>
          <w:rFonts w:ascii="Palatino Linotype" w:hAnsi="Palatino Linotype"/>
          <w:sz w:val="24"/>
          <w:szCs w:val="24"/>
        </w:rPr>
        <w:t>S. Kam-Hansen et al. used medication known to be effective for migraine headaches.</w:t>
      </w:r>
      <w:r w:rsidR="00EB11D1">
        <w:rPr>
          <w:rStyle w:val="FootnoteReference"/>
          <w:rFonts w:ascii="Palatino Linotype" w:hAnsi="Palatino Linotype"/>
          <w:sz w:val="24"/>
          <w:szCs w:val="24"/>
        </w:rPr>
        <w:footnoteReference w:id="289"/>
      </w:r>
      <w:r w:rsidRPr="003D6B41">
        <w:rPr>
          <w:rFonts w:ascii="Palatino Linotype" w:hAnsi="Palatino Linotype"/>
          <w:sz w:val="24"/>
          <w:szCs w:val="24"/>
        </w:rPr>
        <w:t xml:space="preserve"> Rizatriptan, an active treatment for migraine, was administered, but labeled as placebo. Rizatriptan was less effective when labeled placebo than when labeled rizatriptan. Changing the expectation influenced the outcome. Pain, like the field of psychiatry, has no measurable biomarkers; the patient’s subjective perception is relied upon for drug efficacy. The study of medications for mental conditions faces this challenge in every experiment; pain, like mood, cannot be objectively measured. The measure is in the eye of the beholder.</w:t>
      </w:r>
    </w:p>
    <w:p w14:paraId="1E0DC942" w14:textId="77777777" w:rsidR="00EB11D1" w:rsidRPr="003D6B41" w:rsidRDefault="00EB11D1" w:rsidP="00EB11D1">
      <w:pPr>
        <w:ind w:firstLine="720"/>
        <w:rPr>
          <w:rFonts w:ascii="Palatino Linotype" w:hAnsi="Palatino Linotype"/>
          <w:sz w:val="24"/>
          <w:szCs w:val="24"/>
        </w:rPr>
      </w:pPr>
    </w:p>
    <w:p w14:paraId="4450810A" w14:textId="1B468159" w:rsidR="003D6B41" w:rsidRDefault="003D6B41" w:rsidP="003D6B41">
      <w:pPr>
        <w:ind w:firstLine="720"/>
        <w:rPr>
          <w:rFonts w:ascii="Palatino Linotype" w:hAnsi="Palatino Linotype"/>
          <w:sz w:val="24"/>
          <w:szCs w:val="24"/>
        </w:rPr>
      </w:pPr>
      <w:r w:rsidRPr="003D6B41">
        <w:rPr>
          <w:rFonts w:ascii="Palatino Linotype" w:hAnsi="Palatino Linotype"/>
          <w:sz w:val="24"/>
          <w:szCs w:val="24"/>
        </w:rPr>
        <w:t>Michael E. Thase’s review of the effects of antidepressant medication demonstrates a 2-4 point advantage over a placebo on the 52-point Hamilton rating scale for depression.</w:t>
      </w:r>
      <w:r w:rsidR="00EB11D1">
        <w:rPr>
          <w:rStyle w:val="FootnoteReference"/>
          <w:rFonts w:ascii="Palatino Linotype" w:hAnsi="Palatino Linotype"/>
          <w:sz w:val="24"/>
          <w:szCs w:val="24"/>
        </w:rPr>
        <w:footnoteReference w:id="290"/>
      </w:r>
      <w:r w:rsidRPr="003D6B41">
        <w:rPr>
          <w:rFonts w:ascii="Palatino Linotype" w:hAnsi="Palatino Linotype"/>
          <w:sz w:val="24"/>
          <w:szCs w:val="24"/>
        </w:rPr>
        <w:t xml:space="preserve"> While this might be statistically significant, the clinical significance is minimal. Clinically significant effects are an actual meaningful improvement in a condition, while statistical significance is only a difference in numbers. Highly effective medication would hope to demonstrate a greater clinical improvement, rather than a small gain in numbers over placebo. Antibiotics with such minimal clinical effects would not be reliable.</w:t>
      </w:r>
    </w:p>
    <w:p w14:paraId="0B704EBF" w14:textId="77777777" w:rsidR="00EB11D1" w:rsidRPr="003D6B41" w:rsidRDefault="00EB11D1" w:rsidP="003D6B41">
      <w:pPr>
        <w:ind w:firstLine="720"/>
        <w:rPr>
          <w:rFonts w:ascii="Palatino Linotype" w:hAnsi="Palatino Linotype"/>
          <w:sz w:val="24"/>
          <w:szCs w:val="24"/>
        </w:rPr>
      </w:pPr>
    </w:p>
    <w:p w14:paraId="5F733353" w14:textId="7FDECA6A"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 xml:space="preserve">Expectation management does not just relate to the placebo effect on patients. Expectations also influence investigators, resulting in a publication bias toward positive studies. Hans Melander et al. reviewed antidepressant medication studies registered </w:t>
      </w:r>
      <w:r w:rsidRPr="003D6B41">
        <w:rPr>
          <w:rFonts w:ascii="Palatino Linotype" w:hAnsi="Palatino Linotype"/>
          <w:sz w:val="24"/>
          <w:szCs w:val="24"/>
        </w:rPr>
        <w:lastRenderedPageBreak/>
        <w:t>with the FDA</w:t>
      </w:r>
      <w:r w:rsidR="00EB11D1">
        <w:rPr>
          <w:rFonts w:ascii="Palatino Linotype" w:hAnsi="Palatino Linotype"/>
          <w:sz w:val="24"/>
          <w:szCs w:val="24"/>
        </w:rPr>
        <w:t>.</w:t>
      </w:r>
      <w:r w:rsidR="00EB11D1">
        <w:rPr>
          <w:rStyle w:val="FootnoteReference"/>
          <w:rFonts w:ascii="Palatino Linotype" w:hAnsi="Palatino Linotype"/>
          <w:sz w:val="24"/>
          <w:szCs w:val="24"/>
        </w:rPr>
        <w:footnoteReference w:id="291"/>
      </w:r>
      <w:r w:rsidRPr="003D6B41">
        <w:rPr>
          <w:rFonts w:ascii="Palatino Linotype" w:hAnsi="Palatino Linotype"/>
          <w:sz w:val="24"/>
          <w:szCs w:val="24"/>
        </w:rPr>
        <w:t xml:space="preserve"> This revealed a modest statistical benefit of 2-4 points over placebo in just 51 percent of studies. From the same group of studies registered with the FDA but reaching publication, the positivity rate rose to 94 percent. The expectation of the investigators appears to result in a bias toward publishing only studies showing effectiveness.</w:t>
      </w:r>
    </w:p>
    <w:p w14:paraId="7B4C35E9" w14:textId="6184D70F" w:rsidR="006970D2" w:rsidRDefault="006970D2" w:rsidP="006970D2">
      <w:pPr>
        <w:ind w:firstLine="720"/>
        <w:rPr>
          <w:rFonts w:ascii="Palatino Linotype" w:hAnsi="Palatino Linotype"/>
          <w:sz w:val="24"/>
          <w:szCs w:val="24"/>
        </w:rPr>
      </w:pPr>
    </w:p>
    <w:p w14:paraId="1BC1FFFF" w14:textId="77777777"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The question of overall medication efficacy in mental conditions is a very difficult question. As we previously discussed in antidepressants, the efficacy is less than desirable for this all-too-common problem. As might be expected, the specific medication or actual condition is also important in judging efficacy. Also recall that measuring effectiveness, in the field of mental conditions, employs subjective scales to rate symptoms like mood, agitation, or thought. None of these can be measured with instrumentation like pressure or height. What if the patient’s alterations are severe enough to be observed by researchers, rather than just reported by patients?</w:t>
      </w:r>
    </w:p>
    <w:p w14:paraId="418489C4" w14:textId="77777777" w:rsidR="006D5863" w:rsidRDefault="006D5863" w:rsidP="003D6B41">
      <w:pPr>
        <w:ind w:firstLine="720"/>
        <w:rPr>
          <w:rFonts w:ascii="Palatino Linotype" w:hAnsi="Palatino Linotype"/>
          <w:sz w:val="24"/>
          <w:szCs w:val="24"/>
        </w:rPr>
      </w:pPr>
    </w:p>
    <w:p w14:paraId="7C869547" w14:textId="7C851241"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Psychosis, a loss of connection with reality easily observed by others, is the area where medications were first introduced to the field, spawning the hope for other medications for other problems. Beginning with the use of chlorpromazine and many subsequent similar medications, the studies have observed benefit, but not cure. Features predicting benefit include first episode, more severe symptoms, and shorter illness. Meta-analyses report a 50 percent improvement in symptoms score seen in 52 percent of the medication groups versus 23 percent of placebo.</w:t>
      </w:r>
      <w:r w:rsidR="006D5863">
        <w:rPr>
          <w:rStyle w:val="FootnoteReference"/>
          <w:rFonts w:ascii="Palatino Linotype" w:hAnsi="Palatino Linotype"/>
          <w:sz w:val="24"/>
          <w:szCs w:val="24"/>
        </w:rPr>
        <w:footnoteReference w:id="292"/>
      </w:r>
      <w:r w:rsidRPr="003D6B41">
        <w:rPr>
          <w:rFonts w:ascii="Palatino Linotype" w:hAnsi="Palatino Linotype"/>
          <w:sz w:val="24"/>
          <w:szCs w:val="24"/>
        </w:rPr>
        <w:t xml:space="preserve"> Early studies with first-generation medication in a group hospitalized for 2-10 years showed improvement in 48 percent receiving medication versus 6 percent receiving placebo. This translated into enough clinical significance to result in 36 percent of the medicated deemed suitable (external observation) for discharge versus 5 percent receiving placebo. While medication is not curative, it may play a role in certain situations.</w:t>
      </w:r>
    </w:p>
    <w:p w14:paraId="13632166" w14:textId="77777777" w:rsidR="006D5863" w:rsidRDefault="006D5863" w:rsidP="003D6B41">
      <w:pPr>
        <w:ind w:firstLine="720"/>
        <w:rPr>
          <w:rFonts w:ascii="Palatino Linotype" w:hAnsi="Palatino Linotype"/>
          <w:sz w:val="24"/>
          <w:szCs w:val="24"/>
        </w:rPr>
      </w:pPr>
    </w:p>
    <w:p w14:paraId="5219B51C" w14:textId="66BC795E"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Similar to antipsychotics in psychosis, the use of lithium in acute mania has been shown to be superior to placebo. As early as the 1970s lithium was shown effective with a 75 percent decrease in mania rating and only a 7 percent increase, while placebo reduced mania in 40 percent and demonstrated increased mania scores in 40 percent.</w:t>
      </w:r>
      <w:r w:rsidR="006D5863">
        <w:rPr>
          <w:rStyle w:val="FootnoteReference"/>
          <w:rFonts w:ascii="Palatino Linotype" w:hAnsi="Palatino Linotype"/>
          <w:sz w:val="24"/>
          <w:szCs w:val="24"/>
        </w:rPr>
        <w:footnoteReference w:id="293"/>
      </w:r>
      <w:r w:rsidRPr="003D6B41">
        <w:rPr>
          <w:rFonts w:ascii="Palatino Linotype" w:hAnsi="Palatino Linotype"/>
          <w:sz w:val="24"/>
          <w:szCs w:val="24"/>
        </w:rPr>
        <w:t xml:space="preserve"> </w:t>
      </w:r>
      <w:r w:rsidRPr="003D6B41">
        <w:rPr>
          <w:rFonts w:ascii="Palatino Linotype" w:hAnsi="Palatino Linotype"/>
          <w:sz w:val="24"/>
          <w:szCs w:val="24"/>
        </w:rPr>
        <w:lastRenderedPageBreak/>
        <w:t>Lithium’s effects on mood are greatest in bipolar 1, which requires observable mania (in distinction to bipolar 2 where mania is not part of the mood problem).</w:t>
      </w:r>
      <w:r w:rsidR="006D5863">
        <w:rPr>
          <w:rStyle w:val="FootnoteReference"/>
          <w:rFonts w:ascii="Palatino Linotype" w:hAnsi="Palatino Linotype"/>
          <w:sz w:val="24"/>
          <w:szCs w:val="24"/>
        </w:rPr>
        <w:footnoteReference w:id="294"/>
      </w:r>
      <w:r w:rsidRPr="003D6B41">
        <w:rPr>
          <w:rFonts w:ascii="Palatino Linotype" w:hAnsi="Palatino Linotype"/>
          <w:sz w:val="24"/>
          <w:szCs w:val="24"/>
        </w:rPr>
        <w:t xml:space="preserve"> Medication demonstrates more efficacy when it is tested on conditions with more objective findings and with abnormalities severe enough to be externally observed (psychosis and mania).</w:t>
      </w:r>
    </w:p>
    <w:p w14:paraId="7574AB23" w14:textId="77777777" w:rsidR="003D6B41" w:rsidRPr="003D6B41" w:rsidRDefault="003D6B41" w:rsidP="006D5863">
      <w:pPr>
        <w:rPr>
          <w:rFonts w:ascii="Palatino Linotype" w:hAnsi="Palatino Linotype"/>
          <w:sz w:val="24"/>
          <w:szCs w:val="24"/>
        </w:rPr>
      </w:pPr>
    </w:p>
    <w:p w14:paraId="17D64B7D" w14:textId="77777777" w:rsidR="003D6B41" w:rsidRPr="003D6B41" w:rsidRDefault="003D6B41" w:rsidP="006D5863">
      <w:pPr>
        <w:jc w:val="center"/>
        <w:rPr>
          <w:rFonts w:ascii="Palatino Linotype" w:hAnsi="Palatino Linotype"/>
          <w:b/>
          <w:bCs/>
          <w:sz w:val="24"/>
          <w:szCs w:val="24"/>
        </w:rPr>
      </w:pPr>
      <w:r w:rsidRPr="003D6B41">
        <w:rPr>
          <w:rFonts w:ascii="Palatino Linotype" w:hAnsi="Palatino Linotype"/>
          <w:b/>
          <w:bCs/>
          <w:sz w:val="24"/>
          <w:szCs w:val="24"/>
        </w:rPr>
        <w:t>Desperation</w:t>
      </w:r>
    </w:p>
    <w:p w14:paraId="1D842699" w14:textId="7074380C" w:rsidR="003D6B41" w:rsidRPr="003D6B41" w:rsidRDefault="003D6B41" w:rsidP="006D5863">
      <w:pPr>
        <w:ind w:firstLine="720"/>
        <w:rPr>
          <w:rFonts w:ascii="Palatino Linotype" w:hAnsi="Palatino Linotype"/>
          <w:sz w:val="24"/>
          <w:szCs w:val="24"/>
        </w:rPr>
      </w:pPr>
      <w:r w:rsidRPr="003D6B41">
        <w:rPr>
          <w:rFonts w:ascii="Palatino Linotype" w:hAnsi="Palatino Linotype"/>
          <w:sz w:val="24"/>
          <w:szCs w:val="24"/>
        </w:rPr>
        <w:t>Mental illness and suicide are on the rise in America despite a greater availability of medication.</w:t>
      </w:r>
      <w:r w:rsidR="006D5863">
        <w:rPr>
          <w:rStyle w:val="FootnoteReference"/>
          <w:rFonts w:ascii="Palatino Linotype" w:hAnsi="Palatino Linotype"/>
          <w:sz w:val="24"/>
          <w:szCs w:val="24"/>
        </w:rPr>
        <w:footnoteReference w:id="295"/>
      </w:r>
      <w:r w:rsidR="006D5863">
        <w:rPr>
          <w:rFonts w:ascii="Palatino Linotype" w:hAnsi="Palatino Linotype"/>
          <w:sz w:val="24"/>
          <w:szCs w:val="24"/>
        </w:rPr>
        <w:t xml:space="preserve"> </w:t>
      </w:r>
      <w:r w:rsidRPr="003D6B41">
        <w:rPr>
          <w:rFonts w:ascii="Palatino Linotype" w:hAnsi="Palatino Linotype"/>
          <w:sz w:val="24"/>
          <w:szCs w:val="24"/>
        </w:rPr>
        <w:t>Currently available medication has not stemmed the tide. Seena Fazel et al.</w:t>
      </w:r>
      <w:r w:rsidR="006D5863">
        <w:rPr>
          <w:rFonts w:ascii="Palatino Linotype" w:hAnsi="Palatino Linotype"/>
          <w:sz w:val="24"/>
          <w:szCs w:val="24"/>
        </w:rPr>
        <w:t xml:space="preserve"> </w:t>
      </w:r>
      <w:r w:rsidRPr="003D6B41">
        <w:rPr>
          <w:rFonts w:ascii="Palatino Linotype" w:hAnsi="Palatino Linotype"/>
          <w:sz w:val="24"/>
          <w:szCs w:val="24"/>
        </w:rPr>
        <w:t>an explanation with regard to suicide, that the causation may be more than chemical:</w:t>
      </w:r>
    </w:p>
    <w:p w14:paraId="7C0F426D" w14:textId="77777777" w:rsidR="006D5863" w:rsidRDefault="006D5863" w:rsidP="006D5863">
      <w:pPr>
        <w:ind w:left="720"/>
        <w:rPr>
          <w:rFonts w:ascii="Palatino Linotype" w:hAnsi="Palatino Linotype"/>
          <w:sz w:val="24"/>
          <w:szCs w:val="24"/>
        </w:rPr>
      </w:pPr>
    </w:p>
    <w:p w14:paraId="71C98A2E" w14:textId="3AAE6D64" w:rsidR="003D6B41" w:rsidRPr="003D6B41" w:rsidRDefault="003D6B41" w:rsidP="006D5863">
      <w:pPr>
        <w:ind w:left="720"/>
        <w:rPr>
          <w:rFonts w:ascii="Palatino Linotype" w:hAnsi="Palatino Linotype"/>
          <w:sz w:val="24"/>
          <w:szCs w:val="24"/>
        </w:rPr>
      </w:pPr>
      <w:r w:rsidRPr="003D6B41">
        <w:rPr>
          <w:rFonts w:ascii="Palatino Linotype" w:hAnsi="Palatino Linotype"/>
          <w:sz w:val="24"/>
          <w:szCs w:val="24"/>
        </w:rPr>
        <w:t>Risk factors for suicide have been investigated at the population and individual levels; in addition, predisposing factors and precipitating events have been examined, mainly at the individual level. Each of these factors can be mediated through genetic, psychological, and personality characteristics, making most explanatory models complex and difficult to interpret. One approach to understanding suicide has been life-course analysis, which is based on the premise that risk factors come into play at different stages of life and that suicide is the cumulative result of risk factors over a lifetime.</w:t>
      </w:r>
      <w:r w:rsidR="006D5863">
        <w:rPr>
          <w:rStyle w:val="FootnoteReference"/>
          <w:rFonts w:ascii="Palatino Linotype" w:hAnsi="Palatino Linotype"/>
          <w:sz w:val="24"/>
          <w:szCs w:val="24"/>
        </w:rPr>
        <w:footnoteReference w:id="296"/>
      </w:r>
    </w:p>
    <w:p w14:paraId="60C85218" w14:textId="77777777" w:rsidR="006D5863" w:rsidRDefault="006D5863" w:rsidP="003D6B41">
      <w:pPr>
        <w:ind w:firstLine="720"/>
        <w:rPr>
          <w:rFonts w:ascii="Palatino Linotype" w:hAnsi="Palatino Linotype"/>
          <w:sz w:val="24"/>
          <w:szCs w:val="24"/>
        </w:rPr>
      </w:pPr>
    </w:p>
    <w:p w14:paraId="5BC6F54E" w14:textId="396E8A9C"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Despite multiple observations such as Fazel’s, the search for a chemical solution continues on, driven by the hope of something to fix the brain.</w:t>
      </w:r>
    </w:p>
    <w:p w14:paraId="73F367ED" w14:textId="77777777" w:rsidR="006D5863" w:rsidRDefault="006D5863" w:rsidP="003D6B41">
      <w:pPr>
        <w:ind w:firstLine="720"/>
        <w:rPr>
          <w:rFonts w:ascii="Palatino Linotype" w:hAnsi="Palatino Linotype"/>
          <w:sz w:val="24"/>
          <w:szCs w:val="24"/>
        </w:rPr>
      </w:pPr>
    </w:p>
    <w:p w14:paraId="7ABD8F11" w14:textId="7C47BD59"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The desperation to reduce suicide and despair has recently led to the use of old drugs. Some of these drugs had been previously labeled with too high an abuse risk, as well as association with the mind alteration of Timothy Leary, Charles Manson, and “bad trips.”</w:t>
      </w:r>
      <w:r w:rsidR="009A76E2">
        <w:rPr>
          <w:rStyle w:val="FootnoteReference"/>
          <w:rFonts w:ascii="Palatino Linotype" w:hAnsi="Palatino Linotype"/>
          <w:sz w:val="24"/>
          <w:szCs w:val="24"/>
        </w:rPr>
        <w:footnoteReference w:id="297"/>
      </w:r>
      <w:r w:rsidRPr="003D6B41">
        <w:rPr>
          <w:rFonts w:ascii="Palatino Linotype" w:hAnsi="Palatino Linotype"/>
          <w:sz w:val="24"/>
          <w:szCs w:val="24"/>
        </w:rPr>
        <w:t xml:space="preserve"> Psychedelic medications, which alter our conscious experience, like LSD, MDMA (ecstasy) and ketamine, are under investigation in mood disorders as well as addiction.</w:t>
      </w:r>
      <w:r w:rsidR="009A76E2">
        <w:rPr>
          <w:rStyle w:val="FootnoteReference"/>
          <w:rFonts w:ascii="Palatino Linotype" w:hAnsi="Palatino Linotype"/>
          <w:sz w:val="24"/>
          <w:szCs w:val="24"/>
        </w:rPr>
        <w:footnoteReference w:id="298"/>
      </w:r>
    </w:p>
    <w:p w14:paraId="41ABA838" w14:textId="77777777" w:rsidR="006D5863" w:rsidRDefault="006D5863" w:rsidP="003D6B41">
      <w:pPr>
        <w:ind w:firstLine="720"/>
        <w:rPr>
          <w:rFonts w:ascii="Palatino Linotype" w:hAnsi="Palatino Linotype"/>
          <w:sz w:val="24"/>
          <w:szCs w:val="24"/>
        </w:rPr>
      </w:pPr>
    </w:p>
    <w:p w14:paraId="5526884B" w14:textId="6D328B7C"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GABA receptor modulator SAGE-217 is yet another new medication.</w:t>
      </w:r>
      <w:r w:rsidR="009A76E2">
        <w:rPr>
          <w:rStyle w:val="FootnoteReference"/>
          <w:rFonts w:ascii="Palatino Linotype" w:hAnsi="Palatino Linotype"/>
          <w:sz w:val="24"/>
          <w:szCs w:val="24"/>
        </w:rPr>
        <w:footnoteReference w:id="299"/>
      </w:r>
      <w:r w:rsidRPr="003D6B41">
        <w:rPr>
          <w:rFonts w:ascii="Palatino Linotype" w:hAnsi="Palatino Linotype"/>
          <w:sz w:val="24"/>
          <w:szCs w:val="24"/>
        </w:rPr>
        <w:t xml:space="preserve"> It showed slight advantage over placebo at end of drug use on day fourteen, but unfortunately no difference at trial end on day forty-two. Driven by the MN model, the pursuit continues to attempt to find a medical solution to the common human problems of sadness and hopelessness.</w:t>
      </w:r>
    </w:p>
    <w:p w14:paraId="42478E85" w14:textId="77777777" w:rsidR="003D6B41" w:rsidRPr="003D6B41" w:rsidRDefault="003D6B41" w:rsidP="003D6B41">
      <w:pPr>
        <w:ind w:firstLine="720"/>
        <w:rPr>
          <w:rFonts w:ascii="Palatino Linotype" w:hAnsi="Palatino Linotype"/>
          <w:sz w:val="24"/>
          <w:szCs w:val="24"/>
        </w:rPr>
      </w:pPr>
    </w:p>
    <w:p w14:paraId="24DDC8A0" w14:textId="77777777" w:rsidR="003D6B41" w:rsidRPr="003D6B41" w:rsidRDefault="003D6B41" w:rsidP="00BB5547">
      <w:pPr>
        <w:jc w:val="center"/>
        <w:rPr>
          <w:rFonts w:ascii="Palatino Linotype" w:hAnsi="Palatino Linotype"/>
          <w:b/>
          <w:bCs/>
          <w:sz w:val="24"/>
          <w:szCs w:val="24"/>
        </w:rPr>
      </w:pPr>
      <w:r w:rsidRPr="003D6B41">
        <w:rPr>
          <w:rFonts w:ascii="Palatino Linotype" w:hAnsi="Palatino Linotype"/>
          <w:b/>
          <w:bCs/>
          <w:sz w:val="24"/>
          <w:szCs w:val="24"/>
        </w:rPr>
        <w:t>Subjective and Objective Disorder</w:t>
      </w:r>
    </w:p>
    <w:p w14:paraId="6B6670CC" w14:textId="77777777"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When is the patient depressed? When is a person anxious? When does a child have ADHD? The answer to these questions is at least in part subjective. There is no exact yardstick or biomarker to measure these entities from either the person in question or the outside observer.</w:t>
      </w:r>
    </w:p>
    <w:p w14:paraId="45A364F1" w14:textId="77777777" w:rsidR="00BA18C9" w:rsidRDefault="00BA18C9" w:rsidP="003D6B41">
      <w:pPr>
        <w:ind w:firstLine="720"/>
        <w:rPr>
          <w:rFonts w:ascii="Palatino Linotype" w:hAnsi="Palatino Linotype"/>
          <w:sz w:val="24"/>
          <w:szCs w:val="24"/>
        </w:rPr>
      </w:pPr>
    </w:p>
    <w:p w14:paraId="540237AC" w14:textId="1AA1A0D2"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The variation in biology generally follows a bell-shaped curve. The top of the bell is average, often referred to as normal. People vary, but without a numerical measure, when is the behavior deemed severe or out of proportion? Let us look at a common example of young boy with difficulty in school.</w:t>
      </w:r>
    </w:p>
    <w:p w14:paraId="1A3CA27B" w14:textId="77777777" w:rsidR="003D6B41" w:rsidRDefault="003D6B41" w:rsidP="006970D2">
      <w:pPr>
        <w:ind w:firstLine="720"/>
        <w:rPr>
          <w:rFonts w:ascii="Palatino Linotype" w:hAnsi="Palatino Linotype"/>
          <w:sz w:val="24"/>
          <w:szCs w:val="24"/>
        </w:rPr>
      </w:pPr>
    </w:p>
    <w:p w14:paraId="50FBF9EA" w14:textId="568F74AA"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In the absence of biomarkers, diagnostic criteria focus on behavioral symptoms. Since the same characteristics may be observed in children and adolescents during typical development, the diagnosis of ADHD calls for symptoms that are severe, out of proportion to expectations according to the child’s age or developmental level, and persistent and for which there are no appropriate alternative explanations.</w:t>
      </w:r>
      <w:r w:rsidR="00BA18C9">
        <w:rPr>
          <w:rStyle w:val="FootnoteReference"/>
          <w:rFonts w:ascii="Palatino Linotype" w:hAnsi="Palatino Linotype"/>
          <w:sz w:val="24"/>
          <w:szCs w:val="24"/>
        </w:rPr>
        <w:footnoteReference w:id="300"/>
      </w:r>
    </w:p>
    <w:p w14:paraId="29A1B907" w14:textId="77777777" w:rsidR="00BA18C9" w:rsidRDefault="00BA18C9" w:rsidP="003D6B41">
      <w:pPr>
        <w:ind w:firstLine="720"/>
        <w:rPr>
          <w:rFonts w:ascii="Palatino Linotype" w:hAnsi="Palatino Linotype"/>
          <w:sz w:val="24"/>
          <w:szCs w:val="24"/>
        </w:rPr>
      </w:pPr>
    </w:p>
    <w:p w14:paraId="6DAF5FC5" w14:textId="2864446C"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When the cause of the problem is not understood, how do we know when appropriate alternative explanations been excluded? We know that some children are more fidgety than others. Might their behavioral issues be accentuated with additional problems of poor parenting or an unstable home environment?</w:t>
      </w:r>
    </w:p>
    <w:p w14:paraId="5CD7ADE7" w14:textId="77777777" w:rsidR="00105D21" w:rsidRDefault="00105D21" w:rsidP="003D6B41">
      <w:pPr>
        <w:ind w:firstLine="720"/>
        <w:rPr>
          <w:rFonts w:ascii="Palatino Linotype" w:hAnsi="Palatino Linotype"/>
          <w:sz w:val="24"/>
          <w:szCs w:val="24"/>
        </w:rPr>
      </w:pPr>
    </w:p>
    <w:p w14:paraId="7BF9F9A1" w14:textId="791CB1A3"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Jennifer L. McLaren et al. offer an expert opinion regarding the 20 percent of US children felt to be “highly vulnerable.” This 20 percent was defined as follows:</w:t>
      </w:r>
    </w:p>
    <w:p w14:paraId="3CBCD625" w14:textId="77777777" w:rsidR="00105D21" w:rsidRDefault="00105D21" w:rsidP="003D6B41">
      <w:pPr>
        <w:ind w:firstLine="720"/>
        <w:rPr>
          <w:rFonts w:ascii="Palatino Linotype" w:hAnsi="Palatino Linotype"/>
          <w:sz w:val="24"/>
          <w:szCs w:val="24"/>
        </w:rPr>
      </w:pPr>
    </w:p>
    <w:p w14:paraId="3FEA9970" w14:textId="59376224"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 xml:space="preserve">Several factors produce vulnerability: trauma, disruptions of parenting, poverty, involvement in the juvenile justice and/or child welfare systems, residence in restrictive </w:t>
      </w:r>
      <w:r w:rsidRPr="003D6B41">
        <w:rPr>
          <w:rFonts w:ascii="Palatino Linotype" w:hAnsi="Palatino Linotype"/>
          <w:sz w:val="24"/>
          <w:szCs w:val="24"/>
        </w:rPr>
        <w:lastRenderedPageBreak/>
        <w:t>settings, and problems related to developmental disabilities.</w:t>
      </w:r>
      <w:r w:rsidR="00BA18C9">
        <w:rPr>
          <w:rStyle w:val="FootnoteReference"/>
          <w:rFonts w:ascii="Palatino Linotype" w:hAnsi="Palatino Linotype"/>
          <w:sz w:val="24"/>
          <w:szCs w:val="24"/>
        </w:rPr>
        <w:footnoteReference w:id="301"/>
      </w:r>
    </w:p>
    <w:p w14:paraId="70680E6E" w14:textId="77777777" w:rsidR="00105D21" w:rsidRDefault="00105D21" w:rsidP="003D6B41">
      <w:pPr>
        <w:ind w:firstLine="720"/>
        <w:rPr>
          <w:rFonts w:ascii="Palatino Linotype" w:hAnsi="Palatino Linotype"/>
          <w:sz w:val="24"/>
          <w:szCs w:val="24"/>
        </w:rPr>
      </w:pPr>
    </w:p>
    <w:p w14:paraId="260D3295" w14:textId="337025D4" w:rsidR="003D6B41" w:rsidRPr="003D6B41" w:rsidRDefault="003D6B41" w:rsidP="00D65AD1">
      <w:pPr>
        <w:ind w:firstLine="720"/>
        <w:rPr>
          <w:rFonts w:ascii="Palatino Linotype" w:hAnsi="Palatino Linotype"/>
          <w:sz w:val="24"/>
          <w:szCs w:val="24"/>
        </w:rPr>
      </w:pPr>
      <w:r w:rsidRPr="003D6B41">
        <w:rPr>
          <w:rFonts w:ascii="Palatino Linotype" w:hAnsi="Palatino Linotype"/>
          <w:sz w:val="24"/>
          <w:szCs w:val="24"/>
        </w:rPr>
        <w:t>The authors offer the following conclusion:</w:t>
      </w:r>
    </w:p>
    <w:p w14:paraId="5768D2F9" w14:textId="77777777" w:rsidR="00105D21" w:rsidRDefault="00105D21" w:rsidP="003D6B41">
      <w:pPr>
        <w:ind w:firstLine="720"/>
        <w:rPr>
          <w:rFonts w:ascii="Palatino Linotype" w:hAnsi="Palatino Linotype"/>
          <w:sz w:val="24"/>
          <w:szCs w:val="24"/>
        </w:rPr>
      </w:pPr>
    </w:p>
    <w:p w14:paraId="635A5040" w14:textId="77A9D619" w:rsidR="003D6B41" w:rsidRPr="003D6B41" w:rsidRDefault="003D6B41" w:rsidP="00D65AD1">
      <w:pPr>
        <w:ind w:left="720"/>
        <w:rPr>
          <w:rFonts w:ascii="Palatino Linotype" w:hAnsi="Palatino Linotype"/>
          <w:sz w:val="24"/>
          <w:szCs w:val="24"/>
        </w:rPr>
      </w:pPr>
      <w:r w:rsidRPr="003D6B41">
        <w:rPr>
          <w:rFonts w:ascii="Palatino Linotype" w:hAnsi="Palatino Linotype"/>
          <w:sz w:val="24"/>
          <w:szCs w:val="24"/>
        </w:rPr>
        <w:t>Highly vulnerable children receive numerous psychotropic medications with high rates of poly-pharmacy, off-label use, and long-term use, typically in the absence of adjunctive psychosocial interventions. The current evidence contravenes these trends. Future studies of psychotropic medications in vulnerable children should include long-term effectiveness trials and poly-pharmacy in conjunction with evidence-based, family-centered, psychosocial treatments.</w:t>
      </w:r>
      <w:r w:rsidR="00105D21">
        <w:rPr>
          <w:rStyle w:val="FootnoteReference"/>
          <w:rFonts w:ascii="Palatino Linotype" w:hAnsi="Palatino Linotype"/>
          <w:sz w:val="24"/>
          <w:szCs w:val="24"/>
        </w:rPr>
        <w:footnoteReference w:id="302"/>
      </w:r>
    </w:p>
    <w:p w14:paraId="5FD61702" w14:textId="77777777" w:rsidR="00D65AD1" w:rsidRDefault="00D65AD1" w:rsidP="003D6B41">
      <w:pPr>
        <w:ind w:firstLine="720"/>
        <w:rPr>
          <w:rFonts w:ascii="Palatino Linotype" w:hAnsi="Palatino Linotype"/>
          <w:sz w:val="24"/>
          <w:szCs w:val="24"/>
        </w:rPr>
      </w:pPr>
    </w:p>
    <w:p w14:paraId="1AC58417" w14:textId="3C7E9991" w:rsidR="003D6B41" w:rsidRPr="003D6B41" w:rsidRDefault="003D6B41" w:rsidP="003D6B41">
      <w:pPr>
        <w:ind w:firstLine="720"/>
        <w:rPr>
          <w:rFonts w:ascii="Palatino Linotype" w:hAnsi="Palatino Linotype"/>
          <w:sz w:val="24"/>
          <w:szCs w:val="24"/>
        </w:rPr>
      </w:pPr>
      <w:r w:rsidRPr="003D6B41">
        <w:rPr>
          <w:rFonts w:ascii="Palatino Linotype" w:hAnsi="Palatino Linotype"/>
          <w:sz w:val="24"/>
          <w:szCs w:val="24"/>
        </w:rPr>
        <w:t>The medical profession recognizes that behavior is more complex than what can be easily modified by medication. However, in the MN view, chemistry remains the only modifiable factor.</w:t>
      </w:r>
    </w:p>
    <w:p w14:paraId="592D6E85" w14:textId="77777777" w:rsidR="00D65AD1" w:rsidRDefault="00D65AD1" w:rsidP="003D6B41">
      <w:pPr>
        <w:ind w:firstLine="720"/>
        <w:rPr>
          <w:rFonts w:ascii="Palatino Linotype" w:hAnsi="Palatino Linotype"/>
          <w:sz w:val="24"/>
          <w:szCs w:val="24"/>
        </w:rPr>
      </w:pPr>
    </w:p>
    <w:p w14:paraId="17681A1C" w14:textId="73D1B3CB" w:rsidR="00D65AD1" w:rsidRPr="00D65AD1" w:rsidRDefault="003D6B41" w:rsidP="00D65AD1">
      <w:pPr>
        <w:ind w:firstLine="720"/>
        <w:rPr>
          <w:rFonts w:ascii="Palatino Linotype" w:hAnsi="Palatino Linotype"/>
          <w:sz w:val="24"/>
          <w:szCs w:val="24"/>
        </w:rPr>
      </w:pPr>
      <w:r w:rsidRPr="003D6B41">
        <w:rPr>
          <w:rFonts w:ascii="Palatino Linotype" w:hAnsi="Palatino Linotype"/>
          <w:sz w:val="24"/>
          <w:szCs w:val="24"/>
        </w:rPr>
        <w:t>Unlike chemistry and physics, biology and therefore human behavior, is complex and not uniform. Bipolar 1 is a good example of biology interfacing with other non-biologic issues. Medical science makes no claim to know the cause of Bipolar 1. However, twin studies make some interesting observations.</w:t>
      </w:r>
      <w:r w:rsidR="00105D21">
        <w:rPr>
          <w:rStyle w:val="FootnoteReference"/>
          <w:rFonts w:ascii="Palatino Linotype" w:hAnsi="Palatino Linotype"/>
          <w:sz w:val="24"/>
          <w:szCs w:val="24"/>
        </w:rPr>
        <w:footnoteReference w:id="303"/>
      </w:r>
      <w:r w:rsidRPr="003D6B41">
        <w:rPr>
          <w:rFonts w:ascii="Palatino Linotype" w:hAnsi="Palatino Linotype"/>
          <w:sz w:val="24"/>
          <w:szCs w:val="24"/>
        </w:rPr>
        <w:t xml:space="preserve"> If your identical twin develops the symptoms consistent with Bipolar, you will carry a 40 percent chance of developing the same. In non-identical twins, this</w:t>
      </w:r>
      <w:r w:rsidR="00D65AD1">
        <w:rPr>
          <w:rFonts w:ascii="Palatino Linotype" w:hAnsi="Palatino Linotype"/>
          <w:sz w:val="24"/>
          <w:szCs w:val="24"/>
        </w:rPr>
        <w:t xml:space="preserve"> </w:t>
      </w:r>
      <w:r w:rsidR="00D65AD1" w:rsidRPr="00D65AD1">
        <w:rPr>
          <w:rFonts w:ascii="Palatino Linotype" w:hAnsi="Palatino Linotype"/>
          <w:sz w:val="24"/>
          <w:szCs w:val="24"/>
        </w:rPr>
        <w:t>falls to 5 percent, while in the general population, the risk is 2 percent.</w:t>
      </w:r>
      <w:r w:rsidR="00D65AD1">
        <w:rPr>
          <w:rStyle w:val="FootnoteReference"/>
          <w:rFonts w:ascii="Palatino Linotype" w:hAnsi="Palatino Linotype"/>
          <w:sz w:val="24"/>
          <w:szCs w:val="24"/>
        </w:rPr>
        <w:footnoteReference w:id="304"/>
      </w:r>
      <w:r w:rsidR="00D65AD1" w:rsidRPr="00D65AD1">
        <w:rPr>
          <w:rFonts w:ascii="Palatino Linotype" w:hAnsi="Palatino Linotype"/>
          <w:sz w:val="24"/>
          <w:szCs w:val="24"/>
        </w:rPr>
        <w:t xml:space="preserve"> There appears to be a genetic effect, but it also appears that genetics are not the only effect.</w:t>
      </w:r>
    </w:p>
    <w:p w14:paraId="18EFC3FF" w14:textId="77777777" w:rsidR="00D65AD1" w:rsidRDefault="00D65AD1" w:rsidP="00D65AD1">
      <w:pPr>
        <w:ind w:firstLine="720"/>
        <w:rPr>
          <w:rFonts w:ascii="Palatino Linotype" w:hAnsi="Palatino Linotype"/>
          <w:sz w:val="24"/>
          <w:szCs w:val="24"/>
        </w:rPr>
      </w:pPr>
    </w:p>
    <w:p w14:paraId="0FBE6CB5" w14:textId="1B0E917A" w:rsidR="00D65AD1" w:rsidRPr="00D65AD1" w:rsidRDefault="00D65AD1" w:rsidP="00D65AD1">
      <w:pPr>
        <w:ind w:firstLine="720"/>
        <w:rPr>
          <w:rFonts w:ascii="Palatino Linotype" w:hAnsi="Palatino Linotype"/>
          <w:sz w:val="24"/>
          <w:szCs w:val="24"/>
        </w:rPr>
      </w:pPr>
      <w:r w:rsidRPr="00D65AD1">
        <w:rPr>
          <w:rFonts w:ascii="Palatino Linotype" w:hAnsi="Palatino Linotype"/>
          <w:sz w:val="24"/>
          <w:szCs w:val="24"/>
        </w:rPr>
        <w:t xml:space="preserve">Humans and the lives we live are complex. The Scriptures bring forward that </w:t>
      </w:r>
      <w:r w:rsidRPr="00D65AD1">
        <w:rPr>
          <w:rFonts w:ascii="Palatino Linotype" w:hAnsi="Palatino Linotype"/>
          <w:i/>
          <w:sz w:val="24"/>
          <w:szCs w:val="24"/>
        </w:rPr>
        <w:t xml:space="preserve">all </w:t>
      </w:r>
      <w:r w:rsidRPr="00D65AD1">
        <w:rPr>
          <w:rFonts w:ascii="Palatino Linotype" w:hAnsi="Palatino Linotype"/>
          <w:sz w:val="24"/>
          <w:szCs w:val="24"/>
        </w:rPr>
        <w:t xml:space="preserve">humans have two features in common, while everything else has variation. We are </w:t>
      </w:r>
      <w:r w:rsidRPr="00D65AD1">
        <w:rPr>
          <w:rFonts w:ascii="Palatino Linotype" w:hAnsi="Palatino Linotype"/>
          <w:i/>
          <w:sz w:val="24"/>
          <w:szCs w:val="24"/>
        </w:rPr>
        <w:t xml:space="preserve">all </w:t>
      </w:r>
      <w:r w:rsidRPr="00D65AD1">
        <w:rPr>
          <w:rFonts w:ascii="Palatino Linotype" w:hAnsi="Palatino Linotype"/>
          <w:sz w:val="24"/>
          <w:szCs w:val="24"/>
        </w:rPr>
        <w:t xml:space="preserve">made in the image of God (Genesis 1:26). Secondly, we are </w:t>
      </w:r>
      <w:r w:rsidRPr="00D65AD1">
        <w:rPr>
          <w:rFonts w:ascii="Palatino Linotype" w:hAnsi="Palatino Linotype"/>
          <w:i/>
          <w:sz w:val="24"/>
          <w:szCs w:val="24"/>
        </w:rPr>
        <w:t xml:space="preserve">all </w:t>
      </w:r>
      <w:r w:rsidRPr="00D65AD1">
        <w:rPr>
          <w:rFonts w:ascii="Palatino Linotype" w:hAnsi="Palatino Linotype"/>
          <w:sz w:val="24"/>
          <w:szCs w:val="24"/>
        </w:rPr>
        <w:t xml:space="preserve">sinners (Romans 5:12). Our biology and situational struggles vary. The variation in biology, circumstance, and </w:t>
      </w:r>
      <w:r w:rsidRPr="00D65AD1">
        <w:rPr>
          <w:rFonts w:ascii="Palatino Linotype" w:hAnsi="Palatino Linotype"/>
          <w:sz w:val="24"/>
          <w:szCs w:val="24"/>
        </w:rPr>
        <w:lastRenderedPageBreak/>
        <w:t>education is what makes each person unique. However, this variation is never an excuse for sin.</w:t>
      </w:r>
    </w:p>
    <w:p w14:paraId="23AAD75C" w14:textId="77777777" w:rsidR="00D65AD1" w:rsidRDefault="00D65AD1" w:rsidP="00D65AD1">
      <w:pPr>
        <w:ind w:firstLine="720"/>
        <w:rPr>
          <w:rFonts w:ascii="Palatino Linotype" w:hAnsi="Palatino Linotype"/>
          <w:sz w:val="24"/>
          <w:szCs w:val="24"/>
        </w:rPr>
      </w:pPr>
    </w:p>
    <w:p w14:paraId="175D08A4" w14:textId="413EDCD6" w:rsidR="00D65AD1" w:rsidRPr="00D65AD1" w:rsidRDefault="00D65AD1" w:rsidP="00D65AD1">
      <w:pPr>
        <w:ind w:firstLine="720"/>
        <w:rPr>
          <w:rFonts w:ascii="Palatino Linotype" w:hAnsi="Palatino Linotype"/>
          <w:sz w:val="24"/>
          <w:szCs w:val="24"/>
        </w:rPr>
      </w:pPr>
      <w:r w:rsidRPr="00D65AD1">
        <w:rPr>
          <w:rFonts w:ascii="Palatino Linotype" w:hAnsi="Palatino Linotype"/>
          <w:sz w:val="24"/>
          <w:szCs w:val="24"/>
        </w:rPr>
        <w:t>One aspect of being made in the image of God is our moral capacity, for which God holds each accountable. Each must navigate their unique life and the accompanying challenges in the context of good theology.</w:t>
      </w:r>
    </w:p>
    <w:p w14:paraId="6721277C" w14:textId="77777777" w:rsidR="00D65AD1" w:rsidRPr="00D65AD1" w:rsidRDefault="00D65AD1" w:rsidP="00D65AD1">
      <w:pPr>
        <w:ind w:firstLine="720"/>
        <w:rPr>
          <w:rFonts w:ascii="Palatino Linotype" w:hAnsi="Palatino Linotype"/>
          <w:sz w:val="24"/>
          <w:szCs w:val="24"/>
        </w:rPr>
      </w:pPr>
    </w:p>
    <w:p w14:paraId="7DF4AAD1" w14:textId="77777777" w:rsidR="00D65AD1" w:rsidRPr="00D65AD1" w:rsidRDefault="00D65AD1" w:rsidP="00D65AD1">
      <w:pPr>
        <w:ind w:firstLine="720"/>
        <w:rPr>
          <w:rFonts w:ascii="Palatino Linotype" w:hAnsi="Palatino Linotype"/>
          <w:sz w:val="24"/>
          <w:szCs w:val="24"/>
        </w:rPr>
      </w:pPr>
    </w:p>
    <w:p w14:paraId="2E4A0DE9" w14:textId="77777777" w:rsidR="00D65AD1" w:rsidRPr="00D65AD1" w:rsidRDefault="00D65AD1" w:rsidP="00DE4F44">
      <w:pPr>
        <w:jc w:val="center"/>
        <w:rPr>
          <w:rFonts w:ascii="Palatino Linotype" w:hAnsi="Palatino Linotype"/>
          <w:b/>
          <w:bCs/>
          <w:sz w:val="24"/>
          <w:szCs w:val="24"/>
        </w:rPr>
      </w:pPr>
      <w:r w:rsidRPr="00D65AD1">
        <w:rPr>
          <w:rFonts w:ascii="Palatino Linotype" w:hAnsi="Palatino Linotype"/>
          <w:b/>
          <w:bCs/>
          <w:sz w:val="24"/>
          <w:szCs w:val="24"/>
        </w:rPr>
        <w:t>Implications for Biblical Counseling</w:t>
      </w:r>
    </w:p>
    <w:p w14:paraId="6A047264" w14:textId="77777777" w:rsidR="00D65AD1" w:rsidRPr="00D65AD1" w:rsidRDefault="00D65AD1" w:rsidP="00D65AD1">
      <w:pPr>
        <w:ind w:firstLine="720"/>
        <w:rPr>
          <w:rFonts w:ascii="Palatino Linotype" w:hAnsi="Palatino Linotype"/>
          <w:sz w:val="24"/>
          <w:szCs w:val="24"/>
        </w:rPr>
      </w:pPr>
      <w:r w:rsidRPr="00D65AD1">
        <w:rPr>
          <w:rFonts w:ascii="Palatino Linotype" w:hAnsi="Palatino Linotype"/>
          <w:sz w:val="24"/>
          <w:szCs w:val="24"/>
        </w:rPr>
        <w:t>A common question is when a counselee should be sent to medical care. As biblical counselors, we cannot make the judgment that a counselee does not have a complicating bodily issue. These issues may hinder them, and even hinder their counseling process. These issues might include, but are not limited to, neurologic or developmental abnormalities, hormonal or metabolic abnormalities, psychotic thoughts, or a sleep disorder. When counseling is not progressing, requesting a medical evaluation reflects an accurate biblical understanding of what it is to be human. Limiting the problem to personal sin can be an oversimplification of both humans and our problems.</w:t>
      </w:r>
    </w:p>
    <w:p w14:paraId="0CA05C02" w14:textId="77777777" w:rsidR="0071444A" w:rsidRDefault="0071444A" w:rsidP="00D65AD1">
      <w:pPr>
        <w:ind w:firstLine="720"/>
        <w:rPr>
          <w:rFonts w:ascii="Palatino Linotype" w:hAnsi="Palatino Linotype"/>
          <w:sz w:val="24"/>
          <w:szCs w:val="24"/>
        </w:rPr>
      </w:pPr>
    </w:p>
    <w:p w14:paraId="47A562DC" w14:textId="1C5F3C7E" w:rsidR="00D65AD1" w:rsidRPr="00D65AD1" w:rsidRDefault="00D65AD1" w:rsidP="00D65AD1">
      <w:pPr>
        <w:ind w:firstLine="720"/>
        <w:rPr>
          <w:rFonts w:ascii="Palatino Linotype" w:hAnsi="Palatino Linotype"/>
          <w:sz w:val="24"/>
          <w:szCs w:val="24"/>
        </w:rPr>
      </w:pPr>
      <w:r w:rsidRPr="00D65AD1">
        <w:rPr>
          <w:rFonts w:ascii="Palatino Linotype" w:hAnsi="Palatino Linotype"/>
          <w:sz w:val="24"/>
          <w:szCs w:val="24"/>
        </w:rPr>
        <w:t>At any given time and in any given situation, we do not know everything. We must be cautious with our assumptions. For example, in 2 Kings 15:4-5 we are informed the King was struck with leprosy for the specific reason of disobeying God. Whereas in the case of Job, we only know the root of his suffering because God revealed it to us the reader, but not to Job the sufferer, and it was not sin. Similarly, in John 9:1-3, the disciples question Jesus as to the cause of a boy’s blindness. They assume, similar to Job’s friends, that some personal sin is involved. Jesus replied that there was no sin, but rather the purpose was that God might be glorified. Like every situation, every moment of life’s challenges is for the purpose of God’s glory. The assumption of knowing (knowledge) puffs up, while love builds up (1 Corinthians 8:1). We must not assume we always know the details of the why and miss the bigger picture of God’s glory.</w:t>
      </w:r>
    </w:p>
    <w:p w14:paraId="41755647" w14:textId="77777777" w:rsidR="0071444A" w:rsidRDefault="0071444A" w:rsidP="0071444A">
      <w:pPr>
        <w:ind w:firstLine="720"/>
        <w:rPr>
          <w:rFonts w:ascii="Palatino Linotype" w:hAnsi="Palatino Linotype"/>
          <w:sz w:val="24"/>
          <w:szCs w:val="24"/>
        </w:rPr>
      </w:pPr>
    </w:p>
    <w:p w14:paraId="54A006BF" w14:textId="513A664C" w:rsidR="0071444A" w:rsidRDefault="00D65AD1" w:rsidP="0071444A">
      <w:pPr>
        <w:ind w:firstLine="720"/>
        <w:rPr>
          <w:rFonts w:ascii="Palatino Linotype" w:hAnsi="Palatino Linotype"/>
          <w:sz w:val="24"/>
          <w:szCs w:val="24"/>
        </w:rPr>
      </w:pPr>
      <w:r w:rsidRPr="00D65AD1">
        <w:rPr>
          <w:rFonts w:ascii="Palatino Linotype" w:hAnsi="Palatino Linotype"/>
          <w:sz w:val="24"/>
          <w:szCs w:val="24"/>
        </w:rPr>
        <w:t>With regard to biblical sufficiency, taking a medication for blood pressure or cholesterol is not viewed as an issue of biblical sufficiency and medicine is welcomed. However, in both cases, behavioral alterations regarding diet (gluttony) and exercise (laziness) are often the superior intervention. The error can often lie in seeing man and his problems as either material only or immaterial only. The MN view misses the issue of the soul in being whole. Conversely, an</w:t>
      </w:r>
      <w:r w:rsidR="0071444A">
        <w:rPr>
          <w:rFonts w:ascii="Palatino Linotype" w:hAnsi="Palatino Linotype"/>
          <w:sz w:val="24"/>
          <w:szCs w:val="24"/>
        </w:rPr>
        <w:t xml:space="preserve"> </w:t>
      </w:r>
      <w:r w:rsidR="0071444A" w:rsidRPr="0071444A">
        <w:rPr>
          <w:rFonts w:ascii="Palatino Linotype" w:hAnsi="Palatino Linotype"/>
          <w:sz w:val="24"/>
          <w:szCs w:val="24"/>
        </w:rPr>
        <w:t xml:space="preserve">exclusive spiritualization of the problems of being human can end with the ideas such as Christian Science’s disregard for antibiotics </w:t>
      </w:r>
      <w:r w:rsidR="0071444A" w:rsidRPr="0071444A">
        <w:rPr>
          <w:rFonts w:ascii="Palatino Linotype" w:hAnsi="Palatino Linotype"/>
          <w:sz w:val="24"/>
          <w:szCs w:val="24"/>
        </w:rPr>
        <w:lastRenderedPageBreak/>
        <w:t>or Ghanaian prayer camps with harsh treatment of the body to rid spiritual problems.</w:t>
      </w:r>
      <w:r w:rsidR="0071444A">
        <w:rPr>
          <w:rStyle w:val="FootnoteReference"/>
          <w:rFonts w:ascii="Palatino Linotype" w:hAnsi="Palatino Linotype"/>
          <w:sz w:val="24"/>
          <w:szCs w:val="24"/>
        </w:rPr>
        <w:footnoteReference w:id="305"/>
      </w:r>
      <w:r w:rsidR="0071444A" w:rsidRPr="0071444A">
        <w:rPr>
          <w:rFonts w:ascii="Palatino Linotype" w:hAnsi="Palatino Linotype"/>
          <w:sz w:val="24"/>
          <w:szCs w:val="24"/>
        </w:rPr>
        <w:t xml:space="preserve"> Scripture describes humans created and living at the crossroad of spirituality and physicality. We must keep this in mind as we attempt to unravel the problems of a counselee.</w:t>
      </w:r>
    </w:p>
    <w:p w14:paraId="639E4506" w14:textId="77777777" w:rsidR="0071444A" w:rsidRPr="0071444A" w:rsidRDefault="0071444A" w:rsidP="0071444A">
      <w:pPr>
        <w:ind w:firstLine="720"/>
        <w:rPr>
          <w:rFonts w:ascii="Palatino Linotype" w:hAnsi="Palatino Linotype"/>
          <w:sz w:val="24"/>
          <w:szCs w:val="24"/>
        </w:rPr>
      </w:pPr>
    </w:p>
    <w:p w14:paraId="1A2FB145" w14:textId="77777777" w:rsidR="0071444A" w:rsidRPr="0071444A" w:rsidRDefault="0071444A" w:rsidP="0071444A">
      <w:pPr>
        <w:ind w:firstLine="720"/>
        <w:rPr>
          <w:rFonts w:ascii="Palatino Linotype" w:hAnsi="Palatino Linotype"/>
          <w:sz w:val="24"/>
          <w:szCs w:val="24"/>
        </w:rPr>
      </w:pPr>
      <w:r w:rsidRPr="0071444A">
        <w:rPr>
          <w:rFonts w:ascii="Palatino Linotype" w:hAnsi="Palatino Linotype"/>
          <w:sz w:val="24"/>
          <w:szCs w:val="24"/>
        </w:rPr>
        <w:t>As biblical counselors, we have a more accurate understanding of the dual nature of being human. In our desire to help and therefore glorify God, we must never overlook the role of the material body. We must not fear what science discovers, but rather praise God for the abilities to discover it. While we don’t trust in horses and chariots, if God provides them, we might use them (Psalm 20:7).</w:t>
      </w:r>
    </w:p>
    <w:p w14:paraId="32B05C6A" w14:textId="77777777" w:rsidR="0071444A" w:rsidRPr="0071444A" w:rsidRDefault="0071444A" w:rsidP="0071444A">
      <w:pPr>
        <w:ind w:firstLine="720"/>
        <w:rPr>
          <w:rFonts w:ascii="Palatino Linotype" w:hAnsi="Palatino Linotype"/>
          <w:sz w:val="24"/>
          <w:szCs w:val="24"/>
        </w:rPr>
      </w:pPr>
    </w:p>
    <w:p w14:paraId="32D618C3" w14:textId="77777777" w:rsidR="0071444A" w:rsidRPr="0071444A" w:rsidRDefault="0071444A" w:rsidP="0071444A">
      <w:pPr>
        <w:ind w:firstLine="720"/>
        <w:rPr>
          <w:rFonts w:ascii="Palatino Linotype" w:hAnsi="Palatino Linotype"/>
          <w:sz w:val="24"/>
          <w:szCs w:val="24"/>
        </w:rPr>
      </w:pPr>
    </w:p>
    <w:p w14:paraId="5A80CAE7" w14:textId="77777777" w:rsidR="0071444A" w:rsidRPr="0071444A" w:rsidRDefault="0071444A" w:rsidP="0071444A">
      <w:pPr>
        <w:jc w:val="center"/>
        <w:rPr>
          <w:rFonts w:ascii="Palatino Linotype" w:hAnsi="Palatino Linotype"/>
          <w:b/>
          <w:bCs/>
          <w:sz w:val="24"/>
          <w:szCs w:val="24"/>
        </w:rPr>
      </w:pPr>
      <w:r w:rsidRPr="0071444A">
        <w:rPr>
          <w:rFonts w:ascii="Palatino Linotype" w:hAnsi="Palatino Linotype"/>
          <w:b/>
          <w:bCs/>
          <w:sz w:val="24"/>
          <w:szCs w:val="24"/>
        </w:rPr>
        <w:t>Final Remarks</w:t>
      </w:r>
    </w:p>
    <w:p w14:paraId="19F4E67F" w14:textId="77777777" w:rsidR="0071444A" w:rsidRPr="0071444A" w:rsidRDefault="0071444A" w:rsidP="0071444A">
      <w:pPr>
        <w:ind w:firstLine="720"/>
        <w:rPr>
          <w:rFonts w:ascii="Palatino Linotype" w:hAnsi="Palatino Linotype"/>
          <w:sz w:val="24"/>
          <w:szCs w:val="24"/>
        </w:rPr>
      </w:pPr>
      <w:r w:rsidRPr="0071444A">
        <w:rPr>
          <w:rFonts w:ascii="Palatino Linotype" w:hAnsi="Palatino Linotype"/>
          <w:sz w:val="24"/>
          <w:szCs w:val="24"/>
        </w:rPr>
        <w:t>If not for human sin, this entire essay would be unnecessary. The effects of original sin have resulted in present day disease, decay, and even death (Romans 8:19-22). Each of our personal sins adds additional complicating problems, not limited to, but including various types of mental anguish. The medical model will continue to explore the material side of being human. This exploration includes disease, thinking, behavior, and anguish. It will most assuredly continue to discover methods to reduce the suffering of humans. Praise God for this ability!</w:t>
      </w:r>
    </w:p>
    <w:p w14:paraId="095369DB" w14:textId="77777777" w:rsidR="0071444A" w:rsidRDefault="0071444A" w:rsidP="0071444A">
      <w:pPr>
        <w:ind w:firstLine="720"/>
        <w:rPr>
          <w:rFonts w:ascii="Palatino Linotype" w:hAnsi="Palatino Linotype"/>
          <w:sz w:val="24"/>
          <w:szCs w:val="24"/>
        </w:rPr>
      </w:pPr>
    </w:p>
    <w:p w14:paraId="633B6329" w14:textId="49CAEF84" w:rsidR="0071444A" w:rsidRPr="0071444A" w:rsidRDefault="0071444A" w:rsidP="0071444A">
      <w:pPr>
        <w:ind w:firstLine="720"/>
        <w:rPr>
          <w:rFonts w:ascii="Palatino Linotype" w:hAnsi="Palatino Linotype"/>
          <w:sz w:val="24"/>
          <w:szCs w:val="24"/>
        </w:rPr>
      </w:pPr>
      <w:r w:rsidRPr="0071444A">
        <w:rPr>
          <w:rFonts w:ascii="Palatino Linotype" w:hAnsi="Palatino Linotype"/>
          <w:sz w:val="24"/>
          <w:szCs w:val="24"/>
        </w:rPr>
        <w:t>Unfortunately, the medical model does not recognize sin; therefore, no complete solution has been nor will be found in this model alone. Only Christ can solve both the material and immaterial problems of life. Therefore, the ultimate solution lies only in Christ and all that only He can bring to life. The work of Christ trumps the medical model, but does not make the medical model irrelevant.</w:t>
      </w:r>
    </w:p>
    <w:p w14:paraId="7BE1BB38" w14:textId="77777777" w:rsidR="0071444A" w:rsidRDefault="0071444A" w:rsidP="0071444A">
      <w:pPr>
        <w:ind w:firstLine="720"/>
        <w:rPr>
          <w:rFonts w:ascii="Palatino Linotype" w:hAnsi="Palatino Linotype"/>
          <w:sz w:val="24"/>
          <w:szCs w:val="24"/>
        </w:rPr>
      </w:pPr>
    </w:p>
    <w:p w14:paraId="7858119B" w14:textId="6010B44C" w:rsidR="0071444A" w:rsidRPr="0071444A" w:rsidRDefault="0071444A" w:rsidP="0071444A">
      <w:pPr>
        <w:ind w:firstLine="720"/>
        <w:rPr>
          <w:rFonts w:ascii="Palatino Linotype" w:hAnsi="Palatino Linotype"/>
          <w:sz w:val="24"/>
          <w:szCs w:val="24"/>
        </w:rPr>
      </w:pPr>
      <w:r w:rsidRPr="0071444A">
        <w:rPr>
          <w:rFonts w:ascii="Palatino Linotype" w:hAnsi="Palatino Linotype"/>
          <w:sz w:val="24"/>
          <w:szCs w:val="24"/>
        </w:rPr>
        <w:t>With regard to mental conditions, clarity is not that we know and understand everything, but rather we recognize humans to be both body and soul. Our role is to introduce the Truth to others, that the Spirit might use accurate ideas to change a heart and therefore a life. Complete restoration is only and will only be found in Christ. In our efforts to live life for Christ’s glory, we may at times have opportunity to reduce suffering. We must never negate the role of medicine in reducing human suffering. Everyone needs truth (counseling) while some may also need medication.</w:t>
      </w:r>
    </w:p>
    <w:p w14:paraId="65A84EDC" w14:textId="77777777" w:rsidR="0071444A" w:rsidRPr="0071444A" w:rsidRDefault="0071444A" w:rsidP="0071444A">
      <w:pPr>
        <w:ind w:firstLine="720"/>
        <w:rPr>
          <w:rFonts w:ascii="Palatino Linotype" w:hAnsi="Palatino Linotype"/>
          <w:sz w:val="24"/>
          <w:szCs w:val="24"/>
        </w:rPr>
      </w:pPr>
    </w:p>
    <w:p w14:paraId="27B8E429" w14:textId="77E533F7" w:rsidR="006970D2" w:rsidRPr="001233CF" w:rsidRDefault="006970D2" w:rsidP="008F4D07">
      <w:pPr>
        <w:ind w:firstLine="720"/>
        <w:rPr>
          <w:rFonts w:ascii="Palatino Linotype" w:hAnsi="Palatino Linotype"/>
          <w:sz w:val="24"/>
          <w:szCs w:val="24"/>
        </w:rPr>
      </w:pPr>
    </w:p>
    <w:sectPr w:rsidR="006970D2" w:rsidRPr="001233CF">
      <w:footnotePr>
        <w:numRestart w:val="eachSec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5690B" w14:textId="77777777" w:rsidR="00E77865" w:rsidRDefault="00E77865" w:rsidP="009070AE">
      <w:r>
        <w:separator/>
      </w:r>
    </w:p>
  </w:endnote>
  <w:endnote w:type="continuationSeparator" w:id="0">
    <w:p w14:paraId="457CE86A" w14:textId="77777777" w:rsidR="00E77865" w:rsidRDefault="00E77865" w:rsidP="00907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438911"/>
      <w:docPartObj>
        <w:docPartGallery w:val="Page Numbers (Bottom of Page)"/>
        <w:docPartUnique/>
      </w:docPartObj>
    </w:sdtPr>
    <w:sdtContent>
      <w:p w14:paraId="67D0F4E0" w14:textId="35C79775" w:rsidR="001335A1" w:rsidRDefault="001335A1" w:rsidP="007679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D934B8" w14:textId="77777777" w:rsidR="001335A1" w:rsidRDefault="001335A1" w:rsidP="001335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2263128"/>
      <w:docPartObj>
        <w:docPartGallery w:val="Page Numbers (Bottom of Page)"/>
        <w:docPartUnique/>
      </w:docPartObj>
    </w:sdtPr>
    <w:sdtContent>
      <w:p w14:paraId="3637D8D8" w14:textId="5C233151" w:rsidR="001335A1" w:rsidRDefault="001335A1" w:rsidP="007679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78EA0A85" w14:textId="77777777" w:rsidR="001335A1" w:rsidRDefault="001335A1" w:rsidP="001335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C5614" w14:textId="77777777" w:rsidR="00E77865" w:rsidRDefault="00E77865" w:rsidP="009070AE">
      <w:r>
        <w:separator/>
      </w:r>
    </w:p>
  </w:footnote>
  <w:footnote w:type="continuationSeparator" w:id="0">
    <w:p w14:paraId="50F0747D" w14:textId="77777777" w:rsidR="00E77865" w:rsidRDefault="00E77865" w:rsidP="009070AE">
      <w:r>
        <w:continuationSeparator/>
      </w:r>
    </w:p>
  </w:footnote>
  <w:footnote w:id="1">
    <w:p w14:paraId="52C91353" w14:textId="1B04CF28" w:rsidR="009070AE" w:rsidRDefault="009070AE">
      <w:pPr>
        <w:pStyle w:val="FootnoteText"/>
      </w:pPr>
      <w:r>
        <w:rPr>
          <w:rStyle w:val="FootnoteReference"/>
        </w:rPr>
        <w:footnoteRef/>
      </w:r>
      <w:r>
        <w:t xml:space="preserve"> </w:t>
      </w:r>
      <w:r w:rsidRPr="009070AE">
        <w:t xml:space="preserve">Carl Trueman, </w:t>
      </w:r>
      <w:r w:rsidRPr="009070AE">
        <w:rPr>
          <w:i/>
        </w:rPr>
        <w:t xml:space="preserve">The Rise and Triumph of the Modern Self: Cultural Amnesia, Expressive Individualism, and the Road to Sexual Revolution </w:t>
      </w:r>
      <w:r w:rsidRPr="009070AE">
        <w:t>(Crossway: Wheaton, 2021), 323.</w:t>
      </w:r>
    </w:p>
  </w:footnote>
  <w:footnote w:id="2">
    <w:p w14:paraId="0208DB40" w14:textId="273A1F91" w:rsidR="009070AE" w:rsidRDefault="009070AE">
      <w:pPr>
        <w:pStyle w:val="FootnoteText"/>
      </w:pPr>
      <w:r>
        <w:rPr>
          <w:rStyle w:val="FootnoteReference"/>
        </w:rPr>
        <w:footnoteRef/>
      </w:r>
      <w:r>
        <w:t xml:space="preserve"> </w:t>
      </w:r>
      <w:r>
        <w:rPr>
          <w:rFonts w:ascii="Times New Roman"/>
          <w:color w:val="231F20"/>
        </w:rPr>
        <w:t>Trueman,</w:t>
      </w:r>
      <w:r>
        <w:rPr>
          <w:rFonts w:ascii="Times New Roman"/>
          <w:color w:val="231F20"/>
          <w:spacing w:val="8"/>
        </w:rPr>
        <w:t xml:space="preserve"> </w:t>
      </w:r>
      <w:r>
        <w:rPr>
          <w:rFonts w:ascii="Times New Roman"/>
          <w:i/>
          <w:color w:val="231F20"/>
        </w:rPr>
        <w:t>The</w:t>
      </w:r>
      <w:r>
        <w:rPr>
          <w:rFonts w:ascii="Times New Roman"/>
          <w:i/>
          <w:color w:val="231F20"/>
          <w:spacing w:val="3"/>
        </w:rPr>
        <w:t xml:space="preserve"> </w:t>
      </w:r>
      <w:r>
        <w:rPr>
          <w:rFonts w:ascii="Times New Roman"/>
          <w:i/>
          <w:color w:val="231F20"/>
        </w:rPr>
        <w:t>Rise</w:t>
      </w:r>
      <w:r>
        <w:rPr>
          <w:rFonts w:ascii="Times New Roman"/>
          <w:i/>
          <w:color w:val="231F20"/>
          <w:spacing w:val="4"/>
        </w:rPr>
        <w:t xml:space="preserve"> </w:t>
      </w:r>
      <w:r>
        <w:rPr>
          <w:rFonts w:ascii="Times New Roman"/>
          <w:i/>
          <w:color w:val="231F20"/>
        </w:rPr>
        <w:t>and</w:t>
      </w:r>
      <w:r>
        <w:rPr>
          <w:rFonts w:ascii="Times New Roman"/>
          <w:i/>
          <w:color w:val="231F20"/>
          <w:spacing w:val="3"/>
        </w:rPr>
        <w:t xml:space="preserve"> </w:t>
      </w:r>
      <w:r>
        <w:rPr>
          <w:rFonts w:ascii="Times New Roman"/>
          <w:i/>
          <w:color w:val="231F20"/>
        </w:rPr>
        <w:t>Triumph</w:t>
      </w:r>
      <w:r>
        <w:rPr>
          <w:rFonts w:ascii="Times New Roman"/>
          <w:i/>
          <w:color w:val="231F20"/>
          <w:spacing w:val="4"/>
        </w:rPr>
        <w:t xml:space="preserve"> </w:t>
      </w:r>
      <w:r>
        <w:rPr>
          <w:rFonts w:ascii="Times New Roman"/>
          <w:i/>
          <w:color w:val="231F20"/>
        </w:rPr>
        <w:t>of</w:t>
      </w:r>
      <w:r>
        <w:rPr>
          <w:rFonts w:ascii="Times New Roman"/>
          <w:i/>
          <w:color w:val="231F20"/>
          <w:spacing w:val="3"/>
        </w:rPr>
        <w:t xml:space="preserve"> </w:t>
      </w:r>
      <w:r>
        <w:rPr>
          <w:rFonts w:ascii="Times New Roman"/>
          <w:i/>
          <w:color w:val="231F20"/>
        </w:rPr>
        <w:t>the</w:t>
      </w:r>
      <w:r>
        <w:rPr>
          <w:rFonts w:ascii="Times New Roman"/>
          <w:i/>
          <w:color w:val="231F20"/>
          <w:spacing w:val="3"/>
        </w:rPr>
        <w:t xml:space="preserve"> </w:t>
      </w:r>
      <w:r>
        <w:rPr>
          <w:rFonts w:ascii="Times New Roman"/>
          <w:i/>
          <w:color w:val="231F20"/>
        </w:rPr>
        <w:t>Modern</w:t>
      </w:r>
      <w:r>
        <w:rPr>
          <w:rFonts w:ascii="Times New Roman"/>
          <w:i/>
          <w:color w:val="231F20"/>
          <w:spacing w:val="4"/>
        </w:rPr>
        <w:t xml:space="preserve"> </w:t>
      </w:r>
      <w:r>
        <w:rPr>
          <w:rFonts w:ascii="Times New Roman"/>
          <w:i/>
          <w:color w:val="231F20"/>
        </w:rPr>
        <w:t>Self,</w:t>
      </w:r>
      <w:r>
        <w:rPr>
          <w:rFonts w:ascii="Times New Roman"/>
          <w:i/>
          <w:color w:val="231F20"/>
          <w:spacing w:val="7"/>
        </w:rPr>
        <w:t xml:space="preserve"> </w:t>
      </w:r>
      <w:r>
        <w:rPr>
          <w:rFonts w:ascii="Times New Roman"/>
          <w:color w:val="231F20"/>
        </w:rPr>
        <w:t>326-</w:t>
      </w:r>
      <w:r>
        <w:rPr>
          <w:rFonts w:ascii="Times New Roman"/>
          <w:color w:val="231F20"/>
          <w:spacing w:val="-4"/>
        </w:rPr>
        <w:t>327.</w:t>
      </w:r>
    </w:p>
  </w:footnote>
  <w:footnote w:id="3">
    <w:p w14:paraId="44C6D834" w14:textId="2FA7DDEA" w:rsidR="009070AE" w:rsidRDefault="009070AE">
      <w:pPr>
        <w:pStyle w:val="FootnoteText"/>
      </w:pPr>
      <w:r>
        <w:rPr>
          <w:rStyle w:val="FootnoteReference"/>
        </w:rPr>
        <w:footnoteRef/>
      </w:r>
      <w:r>
        <w:t xml:space="preserve"> </w:t>
      </w:r>
      <w:r>
        <w:rPr>
          <w:rFonts w:ascii="Times New Roman"/>
          <w:color w:val="231F20"/>
        </w:rPr>
        <w:t>O.</w:t>
      </w:r>
      <w:r>
        <w:rPr>
          <w:rFonts w:ascii="Times New Roman"/>
          <w:color w:val="231F20"/>
          <w:spacing w:val="15"/>
        </w:rPr>
        <w:t xml:space="preserve"> </w:t>
      </w:r>
      <w:r>
        <w:rPr>
          <w:rFonts w:ascii="Times New Roman"/>
          <w:color w:val="231F20"/>
        </w:rPr>
        <w:t>H.</w:t>
      </w:r>
      <w:r>
        <w:rPr>
          <w:rFonts w:ascii="Times New Roman"/>
          <w:color w:val="231F20"/>
          <w:spacing w:val="16"/>
        </w:rPr>
        <w:t xml:space="preserve"> </w:t>
      </w:r>
      <w:r>
        <w:rPr>
          <w:rFonts w:ascii="Times New Roman"/>
          <w:color w:val="231F20"/>
        </w:rPr>
        <w:t>Mowrer,</w:t>
      </w:r>
      <w:r>
        <w:rPr>
          <w:rFonts w:ascii="Times New Roman"/>
          <w:color w:val="231F20"/>
          <w:spacing w:val="16"/>
        </w:rPr>
        <w:t xml:space="preserve"> </w:t>
      </w:r>
      <w:r>
        <w:rPr>
          <w:rFonts w:ascii="Times New Roman"/>
          <w:i/>
          <w:color w:val="231F20"/>
        </w:rPr>
        <w:t>The</w:t>
      </w:r>
      <w:r>
        <w:rPr>
          <w:rFonts w:ascii="Times New Roman"/>
          <w:i/>
          <w:color w:val="231F20"/>
          <w:spacing w:val="7"/>
        </w:rPr>
        <w:t xml:space="preserve"> </w:t>
      </w:r>
      <w:r>
        <w:rPr>
          <w:rFonts w:ascii="Times New Roman"/>
          <w:i/>
          <w:color w:val="231F20"/>
        </w:rPr>
        <w:t>Crisis</w:t>
      </w:r>
      <w:r>
        <w:rPr>
          <w:rFonts w:ascii="Times New Roman"/>
          <w:i/>
          <w:color w:val="231F20"/>
          <w:spacing w:val="6"/>
        </w:rPr>
        <w:t xml:space="preserve"> </w:t>
      </w:r>
      <w:r>
        <w:rPr>
          <w:rFonts w:ascii="Times New Roman"/>
          <w:i/>
          <w:color w:val="231F20"/>
        </w:rPr>
        <w:t>in</w:t>
      </w:r>
      <w:r>
        <w:rPr>
          <w:rFonts w:ascii="Times New Roman"/>
          <w:i/>
          <w:color w:val="231F20"/>
          <w:spacing w:val="7"/>
        </w:rPr>
        <w:t xml:space="preserve"> </w:t>
      </w:r>
      <w:r>
        <w:rPr>
          <w:rFonts w:ascii="Times New Roman"/>
          <w:i/>
          <w:color w:val="231F20"/>
        </w:rPr>
        <w:t>Psychiatry</w:t>
      </w:r>
      <w:r>
        <w:rPr>
          <w:rFonts w:ascii="Times New Roman"/>
          <w:i/>
          <w:color w:val="231F20"/>
          <w:spacing w:val="6"/>
        </w:rPr>
        <w:t xml:space="preserve"> </w:t>
      </w:r>
      <w:r>
        <w:rPr>
          <w:rFonts w:ascii="Times New Roman"/>
          <w:i/>
          <w:color w:val="231F20"/>
        </w:rPr>
        <w:t>and</w:t>
      </w:r>
      <w:r>
        <w:rPr>
          <w:rFonts w:ascii="Times New Roman"/>
          <w:i/>
          <w:color w:val="231F20"/>
          <w:spacing w:val="7"/>
        </w:rPr>
        <w:t xml:space="preserve"> </w:t>
      </w:r>
      <w:r>
        <w:rPr>
          <w:rFonts w:ascii="Times New Roman"/>
          <w:i/>
          <w:color w:val="231F20"/>
        </w:rPr>
        <w:t>Religion</w:t>
      </w:r>
      <w:r>
        <w:rPr>
          <w:rFonts w:ascii="Times New Roman"/>
          <w:i/>
          <w:color w:val="231F20"/>
          <w:spacing w:val="12"/>
        </w:rPr>
        <w:t xml:space="preserve"> </w:t>
      </w:r>
      <w:r>
        <w:rPr>
          <w:rFonts w:ascii="Times New Roman"/>
          <w:color w:val="231F20"/>
        </w:rPr>
        <w:t>(Princeton:</w:t>
      </w:r>
      <w:r>
        <w:rPr>
          <w:rFonts w:ascii="Times New Roman"/>
          <w:color w:val="231F20"/>
          <w:spacing w:val="15"/>
        </w:rPr>
        <w:t xml:space="preserve"> </w:t>
      </w:r>
      <w:r>
        <w:rPr>
          <w:rFonts w:ascii="Times New Roman"/>
          <w:color w:val="231F20"/>
        </w:rPr>
        <w:t>D.</w:t>
      </w:r>
      <w:r>
        <w:rPr>
          <w:rFonts w:ascii="Times New Roman"/>
          <w:color w:val="231F20"/>
          <w:spacing w:val="12"/>
        </w:rPr>
        <w:t xml:space="preserve"> </w:t>
      </w:r>
      <w:r>
        <w:rPr>
          <w:rFonts w:ascii="Times New Roman"/>
          <w:color w:val="231F20"/>
        </w:rPr>
        <w:t>Van</w:t>
      </w:r>
      <w:r>
        <w:rPr>
          <w:rFonts w:ascii="Times New Roman"/>
          <w:color w:val="231F20"/>
          <w:spacing w:val="16"/>
        </w:rPr>
        <w:t xml:space="preserve"> </w:t>
      </w:r>
      <w:r>
        <w:rPr>
          <w:rFonts w:ascii="Times New Roman"/>
          <w:color w:val="231F20"/>
        </w:rPr>
        <w:t>Nostrand,</w:t>
      </w:r>
      <w:r>
        <w:rPr>
          <w:rFonts w:ascii="Times New Roman"/>
          <w:color w:val="231F20"/>
          <w:spacing w:val="16"/>
        </w:rPr>
        <w:t xml:space="preserve"> </w:t>
      </w:r>
      <w:r>
        <w:rPr>
          <w:rFonts w:ascii="Times New Roman"/>
          <w:color w:val="231F20"/>
        </w:rPr>
        <w:t>1961),</w:t>
      </w:r>
      <w:r>
        <w:rPr>
          <w:rFonts w:ascii="Times New Roman"/>
          <w:color w:val="231F20"/>
          <w:spacing w:val="16"/>
        </w:rPr>
        <w:t xml:space="preserve"> </w:t>
      </w:r>
      <w:r>
        <w:rPr>
          <w:rFonts w:ascii="Times New Roman"/>
          <w:color w:val="231F20"/>
          <w:spacing w:val="-5"/>
        </w:rPr>
        <w:t>60.</w:t>
      </w:r>
    </w:p>
  </w:footnote>
  <w:footnote w:id="4">
    <w:p w14:paraId="5A740BE6" w14:textId="77777777" w:rsidR="009070AE" w:rsidRPr="009070AE" w:rsidRDefault="009070AE" w:rsidP="009070AE">
      <w:pPr>
        <w:pStyle w:val="FootnoteText"/>
      </w:pPr>
      <w:r>
        <w:rPr>
          <w:rStyle w:val="FootnoteReference"/>
        </w:rPr>
        <w:footnoteRef/>
      </w:r>
      <w:r>
        <w:t xml:space="preserve"> </w:t>
      </w:r>
      <w:r w:rsidRPr="009070AE">
        <w:t xml:space="preserve">E. Brooks Holifield, </w:t>
      </w:r>
      <w:r w:rsidRPr="009070AE">
        <w:rPr>
          <w:i/>
        </w:rPr>
        <w:t xml:space="preserve">A History of Pastoral Care in America: From Salvation to Self-Realization </w:t>
      </w:r>
      <w:r w:rsidRPr="009070AE">
        <w:t>(Eugene: Wipf &amp; Stock, 2005).</w:t>
      </w:r>
    </w:p>
    <w:p w14:paraId="0D117B58" w14:textId="30F94BD3" w:rsidR="009070AE" w:rsidRDefault="009070AE">
      <w:pPr>
        <w:pStyle w:val="FootnoteText"/>
      </w:pPr>
    </w:p>
  </w:footnote>
  <w:footnote w:id="5">
    <w:p w14:paraId="4BD48E7B" w14:textId="026AA301" w:rsidR="009070AE" w:rsidRDefault="009070AE">
      <w:pPr>
        <w:pStyle w:val="FootnoteText"/>
      </w:pPr>
      <w:r>
        <w:rPr>
          <w:rStyle w:val="FootnoteReference"/>
        </w:rPr>
        <w:footnoteRef/>
      </w:r>
      <w:r>
        <w:t xml:space="preserve"> </w:t>
      </w:r>
      <w:r>
        <w:rPr>
          <w:rFonts w:ascii="Times New Roman" w:hAnsi="Times New Roman"/>
          <w:color w:val="231F20"/>
        </w:rPr>
        <w:t>Andrew</w:t>
      </w:r>
      <w:r>
        <w:rPr>
          <w:rFonts w:ascii="Times New Roman" w:hAnsi="Times New Roman"/>
          <w:color w:val="231F20"/>
          <w:spacing w:val="29"/>
        </w:rPr>
        <w:t xml:space="preserve"> </w:t>
      </w:r>
      <w:r>
        <w:rPr>
          <w:rFonts w:ascii="Times New Roman" w:hAnsi="Times New Roman"/>
          <w:color w:val="231F20"/>
        </w:rPr>
        <w:t>Scull,</w:t>
      </w:r>
      <w:r>
        <w:rPr>
          <w:rFonts w:ascii="Times New Roman" w:hAnsi="Times New Roman"/>
          <w:color w:val="231F20"/>
          <w:spacing w:val="30"/>
        </w:rPr>
        <w:t xml:space="preserve"> </w:t>
      </w:r>
      <w:r>
        <w:rPr>
          <w:rFonts w:ascii="Times New Roman" w:hAnsi="Times New Roman"/>
          <w:i/>
          <w:color w:val="231F20"/>
        </w:rPr>
        <w:t xml:space="preserve">Psychiatry and Its Discontents </w:t>
      </w:r>
      <w:r>
        <w:rPr>
          <w:rFonts w:ascii="Times New Roman" w:hAnsi="Times New Roman"/>
          <w:color w:val="231F20"/>
        </w:rPr>
        <w:t>(Oakland:</w:t>
      </w:r>
      <w:r>
        <w:rPr>
          <w:rFonts w:ascii="Times New Roman" w:hAnsi="Times New Roman"/>
          <w:color w:val="231F20"/>
          <w:spacing w:val="30"/>
        </w:rPr>
        <w:t xml:space="preserve"> </w:t>
      </w:r>
      <w:r>
        <w:rPr>
          <w:rFonts w:ascii="Times New Roman" w:hAnsi="Times New Roman"/>
          <w:color w:val="231F20"/>
        </w:rPr>
        <w:t>University</w:t>
      </w:r>
      <w:r>
        <w:rPr>
          <w:rFonts w:ascii="Times New Roman" w:hAnsi="Times New Roman"/>
          <w:color w:val="231F20"/>
          <w:spacing w:val="30"/>
        </w:rPr>
        <w:t xml:space="preserve"> </w:t>
      </w:r>
      <w:r>
        <w:rPr>
          <w:rFonts w:ascii="Times New Roman" w:hAnsi="Times New Roman"/>
          <w:color w:val="231F20"/>
        </w:rPr>
        <w:t>of</w:t>
      </w:r>
      <w:r>
        <w:rPr>
          <w:rFonts w:ascii="Times New Roman" w:hAnsi="Times New Roman"/>
          <w:color w:val="231F20"/>
          <w:spacing w:val="30"/>
        </w:rPr>
        <w:t xml:space="preserve"> </w:t>
      </w:r>
      <w:r>
        <w:rPr>
          <w:rFonts w:ascii="Times New Roman" w:hAnsi="Times New Roman"/>
          <w:color w:val="231F20"/>
        </w:rPr>
        <w:t>California</w:t>
      </w:r>
      <w:r>
        <w:rPr>
          <w:rFonts w:ascii="Times New Roman" w:hAnsi="Times New Roman"/>
          <w:color w:val="231F20"/>
          <w:spacing w:val="30"/>
        </w:rPr>
        <w:t xml:space="preserve"> </w:t>
      </w:r>
      <w:r>
        <w:rPr>
          <w:rFonts w:ascii="Times New Roman" w:hAnsi="Times New Roman"/>
          <w:color w:val="231F20"/>
        </w:rPr>
        <w:t>Press,</w:t>
      </w:r>
      <w:r>
        <w:rPr>
          <w:rFonts w:ascii="Times New Roman" w:hAnsi="Times New Roman"/>
          <w:color w:val="231F20"/>
          <w:spacing w:val="30"/>
        </w:rPr>
        <w:t xml:space="preserve"> </w:t>
      </w:r>
      <w:r>
        <w:rPr>
          <w:rFonts w:ascii="Times New Roman" w:hAnsi="Times New Roman"/>
          <w:color w:val="231F20"/>
        </w:rPr>
        <w:t>2019).</w:t>
      </w:r>
      <w:r>
        <w:rPr>
          <w:rFonts w:ascii="Times New Roman" w:hAnsi="Times New Roman"/>
          <w:color w:val="231F20"/>
          <w:spacing w:val="80"/>
        </w:rPr>
        <w:t xml:space="preserve"> </w:t>
      </w:r>
      <w:r>
        <w:rPr>
          <w:rFonts w:ascii="Times New Roman" w:hAnsi="Times New Roman"/>
          <w:color w:val="231F20"/>
        </w:rPr>
        <w:t>Joanna</w:t>
      </w:r>
      <w:r>
        <w:rPr>
          <w:rFonts w:ascii="Times New Roman" w:hAnsi="Times New Roman"/>
          <w:color w:val="231F20"/>
          <w:spacing w:val="30"/>
        </w:rPr>
        <w:t xml:space="preserve"> </w:t>
      </w:r>
      <w:r>
        <w:rPr>
          <w:rFonts w:ascii="Times New Roman" w:hAnsi="Times New Roman"/>
          <w:color w:val="231F20"/>
        </w:rPr>
        <w:t>Moncrieff,</w:t>
      </w:r>
      <w:r>
        <w:rPr>
          <w:rFonts w:ascii="Times New Roman" w:hAnsi="Times New Roman"/>
          <w:color w:val="231F20"/>
          <w:spacing w:val="30"/>
        </w:rPr>
        <w:t xml:space="preserve"> </w:t>
      </w:r>
      <w:r>
        <w:rPr>
          <w:rFonts w:ascii="Times New Roman" w:hAnsi="Times New Roman"/>
          <w:i/>
          <w:color w:val="231F20"/>
        </w:rPr>
        <w:t xml:space="preserve">The Bitterest Pill: The Troubling Story of Anti-Psychotic Drugs </w:t>
      </w:r>
      <w:r>
        <w:rPr>
          <w:rFonts w:ascii="Times New Roman" w:hAnsi="Times New Roman"/>
          <w:color w:val="231F20"/>
        </w:rPr>
        <w:t xml:space="preserve">(London: Palgrave Macmillan, 2013). Hannah Decker, </w:t>
      </w:r>
      <w:r>
        <w:rPr>
          <w:rFonts w:ascii="Times New Roman" w:hAnsi="Times New Roman"/>
          <w:i/>
          <w:color w:val="231F20"/>
        </w:rPr>
        <w:t xml:space="preserve">The Making of the DSM-III: A Diagnostic Manual’s Conquest of American Psychiatry </w:t>
      </w:r>
      <w:r>
        <w:rPr>
          <w:rFonts w:ascii="Times New Roman" w:hAnsi="Times New Roman"/>
          <w:color w:val="231F20"/>
        </w:rPr>
        <w:t xml:space="preserve">(Oxford: Oxford University Press, </w:t>
      </w:r>
      <w:r>
        <w:rPr>
          <w:rFonts w:ascii="Times New Roman" w:hAnsi="Times New Roman"/>
          <w:color w:val="231F20"/>
          <w:spacing w:val="-2"/>
        </w:rPr>
        <w:t>2013).</w:t>
      </w:r>
    </w:p>
  </w:footnote>
  <w:footnote w:id="6">
    <w:p w14:paraId="74426719" w14:textId="263CBE08" w:rsidR="009070AE" w:rsidRDefault="009070AE">
      <w:pPr>
        <w:pStyle w:val="FootnoteText"/>
      </w:pPr>
      <w:r>
        <w:rPr>
          <w:rStyle w:val="FootnoteReference"/>
        </w:rPr>
        <w:footnoteRef/>
      </w:r>
      <w:r>
        <w:t xml:space="preserve"> </w:t>
      </w:r>
      <w:r w:rsidRPr="009070AE">
        <w:t xml:space="preserve">Allen Frances, </w:t>
      </w:r>
      <w:r w:rsidRPr="009070AE">
        <w:rPr>
          <w:i/>
        </w:rPr>
        <w:t xml:space="preserve">Saving Normal: An Insider’s Revolt Against Out-of-Control Psychiatric Diagnosis, DSM-5, Big Pharma, and the Medicalization of Ordinary Life </w:t>
      </w:r>
      <w:r w:rsidRPr="009070AE">
        <w:t>(New York: William Morrow, 2013).</w:t>
      </w:r>
    </w:p>
  </w:footnote>
  <w:footnote w:id="7">
    <w:p w14:paraId="77EA46C1" w14:textId="3F9DDD3A" w:rsidR="009070AE" w:rsidRDefault="009070AE">
      <w:pPr>
        <w:pStyle w:val="FootnoteText"/>
      </w:pPr>
      <w:r>
        <w:rPr>
          <w:rStyle w:val="FootnoteReference"/>
        </w:rPr>
        <w:footnoteRef/>
      </w:r>
      <w:r>
        <w:t xml:space="preserve"> </w:t>
      </w:r>
      <w:r w:rsidRPr="009070AE">
        <w:t xml:space="preserve">Allen V. Horwitz, </w:t>
      </w:r>
      <w:r w:rsidRPr="009070AE">
        <w:rPr>
          <w:i/>
        </w:rPr>
        <w:t xml:space="preserve">DSM: A History of Psychiatry’s Bible </w:t>
      </w:r>
      <w:r w:rsidRPr="009070AE">
        <w:t>(Baltimore: John’s Hopkins University Press, 2021).</w:t>
      </w:r>
    </w:p>
  </w:footnote>
  <w:footnote w:id="8">
    <w:p w14:paraId="588428F9" w14:textId="77777777" w:rsidR="009070AE" w:rsidRPr="009070AE" w:rsidRDefault="009070AE" w:rsidP="009070AE">
      <w:pPr>
        <w:pStyle w:val="FootnoteText"/>
      </w:pPr>
      <w:r>
        <w:rPr>
          <w:rStyle w:val="FootnoteReference"/>
        </w:rPr>
        <w:footnoteRef/>
      </w:r>
      <w:r>
        <w:t xml:space="preserve"> </w:t>
      </w:r>
      <w:r w:rsidRPr="009070AE">
        <w:t xml:space="preserve">Allen V. Horwitz, </w:t>
      </w:r>
      <w:r w:rsidRPr="009070AE">
        <w:rPr>
          <w:i/>
        </w:rPr>
        <w:t xml:space="preserve">DSM: A History of Psychiatry’s Bible </w:t>
      </w:r>
      <w:r w:rsidRPr="009070AE">
        <w:t>(Baltimore: John’s Hopkins University Press, 2021), 3.</w:t>
      </w:r>
    </w:p>
    <w:p w14:paraId="38E54358" w14:textId="6124C76D" w:rsidR="009070AE" w:rsidRDefault="009070AE">
      <w:pPr>
        <w:pStyle w:val="FootnoteText"/>
      </w:pPr>
    </w:p>
  </w:footnote>
  <w:footnote w:id="9">
    <w:p w14:paraId="7A6987AE" w14:textId="77777777" w:rsidR="009070AE" w:rsidRPr="009070AE" w:rsidRDefault="009070AE" w:rsidP="009070AE">
      <w:pPr>
        <w:pStyle w:val="FootnoteText"/>
      </w:pPr>
      <w:r>
        <w:rPr>
          <w:rStyle w:val="FootnoteReference"/>
        </w:rPr>
        <w:footnoteRef/>
      </w:r>
      <w:r>
        <w:t xml:space="preserve"> </w:t>
      </w:r>
      <w:r w:rsidRPr="009070AE">
        <w:t xml:space="preserve">Francis Schaeffer, </w:t>
      </w:r>
      <w:r w:rsidRPr="009070AE">
        <w:rPr>
          <w:i/>
        </w:rPr>
        <w:t xml:space="preserve">The Church at the End of the 20th Century, </w:t>
      </w:r>
      <w:r w:rsidRPr="009070AE">
        <w:t>2nd ed. (Wheaton: Crossway, 1994), 89.</w:t>
      </w:r>
    </w:p>
    <w:p w14:paraId="648F1790" w14:textId="3D8718DE" w:rsidR="009070AE" w:rsidRDefault="009070AE">
      <w:pPr>
        <w:pStyle w:val="FootnoteText"/>
      </w:pPr>
    </w:p>
  </w:footnote>
  <w:footnote w:id="10">
    <w:p w14:paraId="19093D03" w14:textId="77777777" w:rsidR="009070AE" w:rsidRPr="009070AE" w:rsidRDefault="009070AE" w:rsidP="009070AE">
      <w:pPr>
        <w:pStyle w:val="FootnoteText"/>
      </w:pPr>
      <w:r>
        <w:rPr>
          <w:rStyle w:val="FootnoteReference"/>
        </w:rPr>
        <w:footnoteRef/>
      </w:r>
      <w:r>
        <w:t xml:space="preserve"> </w:t>
      </w:r>
      <w:r w:rsidRPr="009070AE">
        <w:t xml:space="preserve">See Joanna Moncrieff, </w:t>
      </w:r>
      <w:r w:rsidRPr="009070AE">
        <w:rPr>
          <w:i/>
        </w:rPr>
        <w:t xml:space="preserve">The Myth of the Chemical Cure: A Critique of Psychiatric Drug Treatment </w:t>
      </w:r>
      <w:r w:rsidRPr="009070AE">
        <w:t xml:space="preserve">(London: Palgrave Macmillan, 2007). See also Anne Harrington, </w:t>
      </w:r>
      <w:r w:rsidRPr="009070AE">
        <w:rPr>
          <w:i/>
        </w:rPr>
        <w:t xml:space="preserve">Mind Fixers: Psychiatry’s Troubled Search for the Biology of Mental Illness </w:t>
      </w:r>
      <w:r w:rsidRPr="009070AE">
        <w:t xml:space="preserve">(New York: W. W. Norton &amp; Company, 2019). David Healy, </w:t>
      </w:r>
      <w:r w:rsidRPr="009070AE">
        <w:rPr>
          <w:i/>
        </w:rPr>
        <w:t xml:space="preserve">Anti-Depressant Era </w:t>
      </w:r>
      <w:r w:rsidRPr="009070AE">
        <w:t xml:space="preserve">(Cambridge, MA: Harvard University Press, 1999). David Healy, </w:t>
      </w:r>
      <w:r w:rsidRPr="009070AE">
        <w:rPr>
          <w:i/>
        </w:rPr>
        <w:t xml:space="preserve">The Creation of Psychopharmacology </w:t>
      </w:r>
      <w:r w:rsidRPr="009070AE">
        <w:t xml:space="preserve">(Cambridge, MA: Harvard University Press, 2002). Robert Whitaker, </w:t>
      </w:r>
      <w:r w:rsidRPr="009070AE">
        <w:rPr>
          <w:i/>
        </w:rPr>
        <w:t xml:space="preserve">Anatomy of An Epidemic: Magic Bullets, Psychiatric Drugs, and the Astonishing Rise of Mental Illness in America </w:t>
      </w:r>
      <w:r w:rsidRPr="009070AE">
        <w:t xml:space="preserve">(New York, NY: Crown 2010). Daniel Berger, </w:t>
      </w:r>
      <w:r w:rsidRPr="009070AE">
        <w:rPr>
          <w:i/>
        </w:rPr>
        <w:t xml:space="preserve">Rethinking Depression </w:t>
      </w:r>
      <w:r w:rsidRPr="009070AE">
        <w:t xml:space="preserve">(Taylors, SC: Alethia International Publications, 2019). Gary Greenberg, </w:t>
      </w:r>
      <w:r w:rsidRPr="009070AE">
        <w:rPr>
          <w:i/>
        </w:rPr>
        <w:t xml:space="preserve">The Book of Woe: The DSM and the Unmaking of Psychiatry </w:t>
      </w:r>
      <w:r w:rsidRPr="009070AE">
        <w:t xml:space="preserve">(London: Blue Rider Press, 2013). Michael A. Taylor, </w:t>
      </w:r>
      <w:r w:rsidRPr="009070AE">
        <w:rPr>
          <w:i/>
        </w:rPr>
        <w:t xml:space="preserve">Hippocrates Cried: The Decline of American Psychiatry </w:t>
      </w:r>
      <w:r w:rsidRPr="009070AE">
        <w:t xml:space="preserve">(Oxford: Oxford University Press, 2013). Daniel Carlat, </w:t>
      </w:r>
      <w:r w:rsidRPr="009070AE">
        <w:rPr>
          <w:i/>
        </w:rPr>
        <w:t xml:space="preserve">Unhinged: The Trouble with Psychiatry – A Doctor’s Revelations About a Profession in Crisis </w:t>
      </w:r>
      <w:r w:rsidRPr="009070AE">
        <w:t xml:space="preserve">(New York: Free Press, 2010). Irving Kirsch, </w:t>
      </w:r>
      <w:r w:rsidRPr="009070AE">
        <w:rPr>
          <w:i/>
        </w:rPr>
        <w:t xml:space="preserve">The Emperor’s New Drugs: Exploding the Anti-Depressant Myth </w:t>
      </w:r>
      <w:r w:rsidRPr="009070AE">
        <w:t xml:space="preserve">(London: The Bodley Head, 2009). Stanton Peele, </w:t>
      </w:r>
      <w:r w:rsidRPr="009070AE">
        <w:rPr>
          <w:i/>
        </w:rPr>
        <w:t xml:space="preserve">The Diseasing of America: How We Allowed Recovery Zealots and the Treatment Industry to Convince Us We Are Out of Control </w:t>
      </w:r>
      <w:r w:rsidRPr="009070AE">
        <w:t>(Hoboken: Wiley, 1999).</w:t>
      </w:r>
    </w:p>
    <w:p w14:paraId="625B99B4" w14:textId="12766825" w:rsidR="009070AE" w:rsidRDefault="009070AE">
      <w:pPr>
        <w:pStyle w:val="FootnoteText"/>
      </w:pPr>
    </w:p>
  </w:footnote>
  <w:footnote w:id="11">
    <w:p w14:paraId="5693A439" w14:textId="46C429BE" w:rsidR="0016311B" w:rsidRDefault="0016311B" w:rsidP="0016311B">
      <w:pPr>
        <w:pStyle w:val="FootnoteText"/>
        <w:tabs>
          <w:tab w:val="left" w:pos="2242"/>
        </w:tabs>
      </w:pPr>
      <w:r>
        <w:rPr>
          <w:rStyle w:val="FootnoteReference"/>
        </w:rPr>
        <w:footnoteRef/>
      </w:r>
      <w:r>
        <w:t xml:space="preserve"> </w:t>
      </w:r>
      <w:r w:rsidRPr="0016311B">
        <w:t xml:space="preserve">Edward Shorter, </w:t>
      </w:r>
      <w:r w:rsidRPr="0016311B">
        <w:rPr>
          <w:i/>
        </w:rPr>
        <w:t xml:space="preserve">A History of Psychiatry </w:t>
      </w:r>
      <w:r w:rsidRPr="0016311B">
        <w:t>(Wiley, 1998).</w:t>
      </w:r>
    </w:p>
  </w:footnote>
  <w:footnote w:id="12">
    <w:p w14:paraId="1C20E7B6" w14:textId="060D4290" w:rsidR="0016311B" w:rsidRDefault="0016311B">
      <w:pPr>
        <w:pStyle w:val="FootnoteText"/>
      </w:pPr>
      <w:r>
        <w:rPr>
          <w:rStyle w:val="FootnoteReference"/>
        </w:rPr>
        <w:footnoteRef/>
      </w:r>
      <w:r>
        <w:t xml:space="preserve"> </w:t>
      </w:r>
      <w:r>
        <w:rPr>
          <w:rFonts w:ascii="Times New Roman" w:hAnsi="Times New Roman"/>
          <w:color w:val="231F20"/>
        </w:rPr>
        <w:t>David</w:t>
      </w:r>
      <w:r>
        <w:rPr>
          <w:rFonts w:ascii="Times New Roman" w:hAnsi="Times New Roman"/>
          <w:color w:val="231F20"/>
          <w:spacing w:val="24"/>
        </w:rPr>
        <w:t xml:space="preserve"> </w:t>
      </w:r>
      <w:r>
        <w:rPr>
          <w:rFonts w:ascii="Times New Roman" w:hAnsi="Times New Roman"/>
          <w:color w:val="231F20"/>
        </w:rPr>
        <w:t>Satcher,</w:t>
      </w:r>
      <w:r>
        <w:rPr>
          <w:rFonts w:ascii="Times New Roman" w:hAnsi="Times New Roman"/>
          <w:color w:val="231F20"/>
          <w:spacing w:val="24"/>
        </w:rPr>
        <w:t xml:space="preserve"> </w:t>
      </w:r>
      <w:r>
        <w:rPr>
          <w:rFonts w:ascii="Times New Roman" w:hAnsi="Times New Roman"/>
          <w:color w:val="231F20"/>
        </w:rPr>
        <w:t>“Mental</w:t>
      </w:r>
      <w:r>
        <w:rPr>
          <w:rFonts w:ascii="Times New Roman" w:hAnsi="Times New Roman"/>
          <w:color w:val="231F20"/>
          <w:spacing w:val="24"/>
        </w:rPr>
        <w:t xml:space="preserve"> </w:t>
      </w:r>
      <w:r>
        <w:rPr>
          <w:rFonts w:ascii="Times New Roman" w:hAnsi="Times New Roman"/>
          <w:color w:val="231F20"/>
        </w:rPr>
        <w:t>Health: A Report</w:t>
      </w:r>
      <w:r>
        <w:rPr>
          <w:rFonts w:ascii="Times New Roman" w:hAnsi="Times New Roman"/>
          <w:color w:val="231F20"/>
          <w:spacing w:val="24"/>
        </w:rPr>
        <w:t xml:space="preserve"> </w:t>
      </w:r>
      <w:r>
        <w:rPr>
          <w:rFonts w:ascii="Times New Roman" w:hAnsi="Times New Roman"/>
          <w:color w:val="231F20"/>
        </w:rPr>
        <w:t>of</w:t>
      </w:r>
      <w:r>
        <w:rPr>
          <w:rFonts w:ascii="Times New Roman" w:hAnsi="Times New Roman"/>
          <w:color w:val="231F20"/>
          <w:spacing w:val="24"/>
        </w:rPr>
        <w:t xml:space="preserve"> </w:t>
      </w:r>
      <w:r>
        <w:rPr>
          <w:rFonts w:ascii="Times New Roman" w:hAnsi="Times New Roman"/>
          <w:color w:val="231F20"/>
        </w:rPr>
        <w:t>the</w:t>
      </w:r>
      <w:r>
        <w:rPr>
          <w:rFonts w:ascii="Times New Roman" w:hAnsi="Times New Roman"/>
          <w:color w:val="231F20"/>
          <w:spacing w:val="24"/>
        </w:rPr>
        <w:t xml:space="preserve"> </w:t>
      </w:r>
      <w:r>
        <w:rPr>
          <w:rFonts w:ascii="Times New Roman" w:hAnsi="Times New Roman"/>
          <w:color w:val="231F20"/>
        </w:rPr>
        <w:t>Surgeon</w:t>
      </w:r>
      <w:r>
        <w:rPr>
          <w:rFonts w:ascii="Times New Roman" w:hAnsi="Times New Roman"/>
          <w:color w:val="231F20"/>
          <w:spacing w:val="24"/>
        </w:rPr>
        <w:t xml:space="preserve"> </w:t>
      </w:r>
      <w:r>
        <w:rPr>
          <w:rFonts w:ascii="Times New Roman" w:hAnsi="Times New Roman"/>
          <w:color w:val="231F20"/>
        </w:rPr>
        <w:t>General,”</w:t>
      </w:r>
      <w:r>
        <w:rPr>
          <w:rFonts w:ascii="Times New Roman" w:hAnsi="Times New Roman"/>
          <w:color w:val="231F20"/>
          <w:spacing w:val="24"/>
        </w:rPr>
        <w:t xml:space="preserve"> </w:t>
      </w:r>
      <w:r>
        <w:rPr>
          <w:rFonts w:ascii="Times New Roman" w:hAnsi="Times New Roman"/>
          <w:color w:val="231F20"/>
        </w:rPr>
        <w:t>U.S.</w:t>
      </w:r>
      <w:r>
        <w:rPr>
          <w:rFonts w:ascii="Times New Roman" w:hAnsi="Times New Roman"/>
          <w:color w:val="231F20"/>
          <w:spacing w:val="24"/>
        </w:rPr>
        <w:t xml:space="preserve"> </w:t>
      </w:r>
      <w:r>
        <w:rPr>
          <w:rFonts w:ascii="Times New Roman" w:hAnsi="Times New Roman"/>
          <w:color w:val="231F20"/>
        </w:rPr>
        <w:t>Department</w:t>
      </w:r>
      <w:r>
        <w:rPr>
          <w:rFonts w:ascii="Times New Roman" w:hAnsi="Times New Roman"/>
          <w:color w:val="231F20"/>
          <w:spacing w:val="24"/>
        </w:rPr>
        <w:t xml:space="preserve"> </w:t>
      </w:r>
      <w:r>
        <w:rPr>
          <w:rFonts w:ascii="Times New Roman" w:hAnsi="Times New Roman"/>
          <w:color w:val="231F20"/>
        </w:rPr>
        <w:t>of</w:t>
      </w:r>
      <w:r>
        <w:rPr>
          <w:rFonts w:ascii="Times New Roman" w:hAnsi="Times New Roman"/>
          <w:color w:val="231F20"/>
          <w:spacing w:val="24"/>
        </w:rPr>
        <w:t xml:space="preserve"> </w:t>
      </w:r>
      <w:r>
        <w:rPr>
          <w:rFonts w:ascii="Times New Roman" w:hAnsi="Times New Roman"/>
          <w:color w:val="231F20"/>
        </w:rPr>
        <w:t>Health</w:t>
      </w:r>
      <w:r>
        <w:rPr>
          <w:rFonts w:ascii="Times New Roman" w:hAnsi="Times New Roman"/>
          <w:color w:val="231F20"/>
          <w:spacing w:val="24"/>
        </w:rPr>
        <w:t xml:space="preserve"> </w:t>
      </w:r>
      <w:r>
        <w:rPr>
          <w:rFonts w:ascii="Times New Roman" w:hAnsi="Times New Roman"/>
          <w:color w:val="231F20"/>
        </w:rPr>
        <w:t>and</w:t>
      </w:r>
      <w:r>
        <w:rPr>
          <w:rFonts w:ascii="Times New Roman" w:hAnsi="Times New Roman"/>
          <w:color w:val="231F20"/>
          <w:spacing w:val="24"/>
        </w:rPr>
        <w:t xml:space="preserve"> </w:t>
      </w:r>
      <w:r>
        <w:rPr>
          <w:rFonts w:ascii="Times New Roman" w:hAnsi="Times New Roman"/>
          <w:color w:val="231F20"/>
        </w:rPr>
        <w:t>Human</w:t>
      </w:r>
      <w:r>
        <w:rPr>
          <w:rFonts w:ascii="Times New Roman" w:hAnsi="Times New Roman"/>
          <w:color w:val="231F20"/>
          <w:spacing w:val="24"/>
        </w:rPr>
        <w:t xml:space="preserve"> </w:t>
      </w:r>
      <w:r>
        <w:rPr>
          <w:rFonts w:ascii="Times New Roman" w:hAnsi="Times New Roman"/>
          <w:color w:val="231F20"/>
        </w:rPr>
        <w:t xml:space="preserve">Services, </w:t>
      </w:r>
      <w:r>
        <w:rPr>
          <w:rFonts w:ascii="Times New Roman" w:hAnsi="Times New Roman"/>
          <w:color w:val="231F20"/>
          <w:spacing w:val="-2"/>
        </w:rPr>
        <w:t>1999.</w:t>
      </w:r>
    </w:p>
  </w:footnote>
  <w:footnote w:id="13">
    <w:p w14:paraId="102FA297" w14:textId="77777777" w:rsidR="0016311B" w:rsidRPr="0016311B" w:rsidRDefault="0016311B" w:rsidP="0016311B">
      <w:pPr>
        <w:pStyle w:val="FootnoteText"/>
      </w:pPr>
      <w:r>
        <w:rPr>
          <w:rStyle w:val="FootnoteReference"/>
        </w:rPr>
        <w:footnoteRef/>
      </w:r>
      <w:r>
        <w:t xml:space="preserve"> </w:t>
      </w:r>
      <w:r w:rsidRPr="0016311B">
        <w:t xml:space="preserve">Gerald Klerman, “A Debate on DSM-III,” </w:t>
      </w:r>
      <w:r w:rsidRPr="0016311B">
        <w:rPr>
          <w:i/>
        </w:rPr>
        <w:t xml:space="preserve">AJP </w:t>
      </w:r>
      <w:r w:rsidRPr="0016311B">
        <w:t>141 (1984): 539–542. 10.1176/ajp.141.4.539.</w:t>
      </w:r>
    </w:p>
    <w:p w14:paraId="57494A1B" w14:textId="0E7D27DA" w:rsidR="0016311B" w:rsidRDefault="0016311B">
      <w:pPr>
        <w:pStyle w:val="FootnoteText"/>
      </w:pPr>
    </w:p>
  </w:footnote>
  <w:footnote w:id="14">
    <w:p w14:paraId="145897FD" w14:textId="6A0FC76A" w:rsidR="0016311B" w:rsidRPr="0016311B" w:rsidRDefault="0016311B" w:rsidP="0016311B">
      <w:pPr>
        <w:spacing w:before="70"/>
        <w:rPr>
          <w:rFonts w:ascii="Times New Roman" w:hAnsi="Times New Roman"/>
          <w:sz w:val="20"/>
        </w:rPr>
      </w:pPr>
      <w:r>
        <w:rPr>
          <w:rStyle w:val="FootnoteReference"/>
        </w:rPr>
        <w:footnoteRef/>
      </w:r>
      <w:r>
        <w:t xml:space="preserve"> </w:t>
      </w:r>
      <w:r>
        <w:rPr>
          <w:rFonts w:ascii="Times New Roman" w:hAnsi="Times New Roman"/>
          <w:color w:val="231F20"/>
          <w:sz w:val="20"/>
        </w:rPr>
        <w:t>N.</w:t>
      </w:r>
      <w:r>
        <w:rPr>
          <w:rFonts w:ascii="Times New Roman" w:hAnsi="Times New Roman"/>
          <w:color w:val="231F20"/>
          <w:spacing w:val="24"/>
          <w:sz w:val="20"/>
        </w:rPr>
        <w:t xml:space="preserve"> </w:t>
      </w:r>
      <w:r>
        <w:rPr>
          <w:rFonts w:ascii="Times New Roman" w:hAnsi="Times New Roman"/>
          <w:color w:val="231F20"/>
          <w:sz w:val="20"/>
        </w:rPr>
        <w:t>C.</w:t>
      </w:r>
      <w:r>
        <w:rPr>
          <w:rFonts w:ascii="Times New Roman" w:hAnsi="Times New Roman"/>
          <w:color w:val="231F20"/>
          <w:spacing w:val="9"/>
          <w:sz w:val="20"/>
        </w:rPr>
        <w:t xml:space="preserve"> </w:t>
      </w:r>
      <w:r>
        <w:rPr>
          <w:rFonts w:ascii="Times New Roman" w:hAnsi="Times New Roman"/>
          <w:color w:val="231F20"/>
          <w:sz w:val="20"/>
        </w:rPr>
        <w:t>Andreasen,</w:t>
      </w:r>
      <w:r>
        <w:rPr>
          <w:rFonts w:ascii="Times New Roman" w:hAnsi="Times New Roman"/>
          <w:color w:val="231F20"/>
          <w:spacing w:val="24"/>
          <w:sz w:val="20"/>
        </w:rPr>
        <w:t xml:space="preserve"> </w:t>
      </w:r>
      <w:r>
        <w:rPr>
          <w:rFonts w:ascii="Times New Roman" w:hAnsi="Times New Roman"/>
          <w:color w:val="231F20"/>
          <w:sz w:val="20"/>
        </w:rPr>
        <w:t>“DSM</w:t>
      </w:r>
      <w:r>
        <w:rPr>
          <w:rFonts w:ascii="Times New Roman" w:hAnsi="Times New Roman"/>
          <w:color w:val="231F20"/>
          <w:spacing w:val="23"/>
          <w:sz w:val="20"/>
        </w:rPr>
        <w:t xml:space="preserve"> </w:t>
      </w:r>
      <w:r>
        <w:rPr>
          <w:rFonts w:ascii="Times New Roman" w:hAnsi="Times New Roman"/>
          <w:color w:val="231F20"/>
          <w:sz w:val="20"/>
        </w:rPr>
        <w:t>and</w:t>
      </w:r>
      <w:r>
        <w:rPr>
          <w:rFonts w:ascii="Times New Roman" w:hAnsi="Times New Roman"/>
          <w:color w:val="231F20"/>
          <w:spacing w:val="24"/>
          <w:sz w:val="20"/>
        </w:rPr>
        <w:t xml:space="preserve"> </w:t>
      </w:r>
      <w:r>
        <w:rPr>
          <w:rFonts w:ascii="Times New Roman" w:hAnsi="Times New Roman"/>
          <w:color w:val="231F20"/>
          <w:sz w:val="20"/>
        </w:rPr>
        <w:t>the</w:t>
      </w:r>
      <w:r>
        <w:rPr>
          <w:rFonts w:ascii="Times New Roman" w:hAnsi="Times New Roman"/>
          <w:color w:val="231F20"/>
          <w:spacing w:val="24"/>
          <w:sz w:val="20"/>
        </w:rPr>
        <w:t xml:space="preserve"> </w:t>
      </w:r>
      <w:r>
        <w:rPr>
          <w:rFonts w:ascii="Times New Roman" w:hAnsi="Times New Roman"/>
          <w:color w:val="231F20"/>
          <w:sz w:val="20"/>
        </w:rPr>
        <w:t>Death</w:t>
      </w:r>
      <w:r>
        <w:rPr>
          <w:rFonts w:ascii="Times New Roman" w:hAnsi="Times New Roman"/>
          <w:color w:val="231F20"/>
          <w:spacing w:val="24"/>
          <w:sz w:val="20"/>
        </w:rPr>
        <w:t xml:space="preserve"> </w:t>
      </w:r>
      <w:r>
        <w:rPr>
          <w:rFonts w:ascii="Times New Roman" w:hAnsi="Times New Roman"/>
          <w:color w:val="231F20"/>
          <w:sz w:val="20"/>
        </w:rPr>
        <w:t>of</w:t>
      </w:r>
      <w:r>
        <w:rPr>
          <w:rFonts w:ascii="Times New Roman" w:hAnsi="Times New Roman"/>
          <w:color w:val="231F20"/>
          <w:spacing w:val="25"/>
          <w:sz w:val="20"/>
        </w:rPr>
        <w:t xml:space="preserve"> </w:t>
      </w:r>
      <w:r>
        <w:rPr>
          <w:rFonts w:ascii="Times New Roman" w:hAnsi="Times New Roman"/>
          <w:color w:val="231F20"/>
          <w:sz w:val="20"/>
        </w:rPr>
        <w:t>Phenomenology</w:t>
      </w:r>
      <w:r>
        <w:rPr>
          <w:rFonts w:ascii="Times New Roman" w:hAnsi="Times New Roman"/>
          <w:color w:val="231F20"/>
          <w:spacing w:val="24"/>
          <w:sz w:val="20"/>
        </w:rPr>
        <w:t xml:space="preserve"> </w:t>
      </w:r>
      <w:r>
        <w:rPr>
          <w:rFonts w:ascii="Times New Roman" w:hAnsi="Times New Roman"/>
          <w:color w:val="231F20"/>
          <w:sz w:val="20"/>
        </w:rPr>
        <w:t>in</w:t>
      </w:r>
      <w:r>
        <w:rPr>
          <w:rFonts w:ascii="Times New Roman" w:hAnsi="Times New Roman"/>
          <w:color w:val="231F20"/>
          <w:spacing w:val="9"/>
          <w:sz w:val="20"/>
        </w:rPr>
        <w:t xml:space="preserve"> </w:t>
      </w:r>
      <w:r>
        <w:rPr>
          <w:rFonts w:ascii="Times New Roman" w:hAnsi="Times New Roman"/>
          <w:color w:val="231F20"/>
          <w:sz w:val="20"/>
        </w:rPr>
        <w:t>America:</w:t>
      </w:r>
      <w:r>
        <w:rPr>
          <w:rFonts w:ascii="Times New Roman" w:hAnsi="Times New Roman"/>
          <w:color w:val="231F20"/>
          <w:spacing w:val="10"/>
          <w:sz w:val="20"/>
        </w:rPr>
        <w:t xml:space="preserve"> </w:t>
      </w:r>
      <w:r>
        <w:rPr>
          <w:rFonts w:ascii="Times New Roman" w:hAnsi="Times New Roman"/>
          <w:color w:val="231F20"/>
          <w:sz w:val="20"/>
        </w:rPr>
        <w:t>An</w:t>
      </w:r>
      <w:r>
        <w:rPr>
          <w:rFonts w:ascii="Times New Roman" w:hAnsi="Times New Roman"/>
          <w:color w:val="231F20"/>
          <w:spacing w:val="24"/>
          <w:sz w:val="20"/>
        </w:rPr>
        <w:t xml:space="preserve"> </w:t>
      </w:r>
      <w:r>
        <w:rPr>
          <w:rFonts w:ascii="Times New Roman" w:hAnsi="Times New Roman"/>
          <w:color w:val="231F20"/>
          <w:sz w:val="20"/>
        </w:rPr>
        <w:t>Example</w:t>
      </w:r>
      <w:r>
        <w:rPr>
          <w:rFonts w:ascii="Times New Roman" w:hAnsi="Times New Roman"/>
          <w:color w:val="231F20"/>
          <w:spacing w:val="24"/>
          <w:sz w:val="20"/>
        </w:rPr>
        <w:t xml:space="preserve"> </w:t>
      </w:r>
      <w:r>
        <w:rPr>
          <w:rFonts w:ascii="Times New Roman" w:hAnsi="Times New Roman"/>
          <w:color w:val="231F20"/>
          <w:sz w:val="20"/>
        </w:rPr>
        <w:t>of</w:t>
      </w:r>
      <w:r>
        <w:rPr>
          <w:rFonts w:ascii="Times New Roman" w:hAnsi="Times New Roman"/>
          <w:color w:val="231F20"/>
          <w:spacing w:val="24"/>
          <w:sz w:val="20"/>
        </w:rPr>
        <w:t xml:space="preserve"> </w:t>
      </w:r>
      <w:r>
        <w:rPr>
          <w:rFonts w:ascii="Times New Roman" w:hAnsi="Times New Roman"/>
          <w:color w:val="231F20"/>
          <w:sz w:val="20"/>
        </w:rPr>
        <w:t>Unintended</w:t>
      </w:r>
      <w:r>
        <w:rPr>
          <w:rFonts w:ascii="Times New Roman" w:hAnsi="Times New Roman"/>
          <w:color w:val="231F20"/>
          <w:spacing w:val="25"/>
          <w:sz w:val="20"/>
        </w:rPr>
        <w:t xml:space="preserve"> </w:t>
      </w:r>
      <w:r>
        <w:rPr>
          <w:rFonts w:ascii="Times New Roman" w:hAnsi="Times New Roman"/>
          <w:color w:val="231F20"/>
          <w:spacing w:val="-2"/>
          <w:sz w:val="20"/>
        </w:rPr>
        <w:t>Consequences,”</w:t>
      </w:r>
      <w:r>
        <w:rPr>
          <w:rFonts w:ascii="Times New Roman" w:hAnsi="Times New Roman"/>
          <w:color w:val="231F20"/>
          <w:spacing w:val="-2"/>
          <w:sz w:val="20"/>
        </w:rPr>
        <w:t xml:space="preserve"> </w:t>
      </w:r>
      <w:r>
        <w:rPr>
          <w:rFonts w:ascii="Times New Roman" w:hAnsi="Times New Roman"/>
          <w:i/>
          <w:color w:val="231F20"/>
          <w:sz w:val="20"/>
        </w:rPr>
        <w:t>Schizophrenia</w:t>
      </w:r>
      <w:r>
        <w:rPr>
          <w:rFonts w:ascii="Times New Roman" w:hAnsi="Times New Roman"/>
          <w:i/>
          <w:color w:val="231F20"/>
          <w:spacing w:val="5"/>
          <w:sz w:val="20"/>
        </w:rPr>
        <w:t xml:space="preserve"> </w:t>
      </w:r>
      <w:r>
        <w:rPr>
          <w:rFonts w:ascii="Times New Roman" w:hAnsi="Times New Roman"/>
          <w:i/>
          <w:color w:val="231F20"/>
          <w:sz w:val="20"/>
        </w:rPr>
        <w:t>Bulletin</w:t>
      </w:r>
      <w:r>
        <w:rPr>
          <w:rFonts w:ascii="Times New Roman" w:hAnsi="Times New Roman"/>
          <w:i/>
          <w:color w:val="231F20"/>
          <w:spacing w:val="5"/>
          <w:sz w:val="20"/>
        </w:rPr>
        <w:t xml:space="preserve"> </w:t>
      </w:r>
      <w:r>
        <w:rPr>
          <w:rFonts w:ascii="Times New Roman" w:hAnsi="Times New Roman"/>
          <w:i/>
          <w:color w:val="231F20"/>
          <w:sz w:val="20"/>
        </w:rPr>
        <w:t>33</w:t>
      </w:r>
      <w:r>
        <w:rPr>
          <w:rFonts w:ascii="Times New Roman" w:hAnsi="Times New Roman"/>
          <w:i/>
          <w:color w:val="231F20"/>
          <w:spacing w:val="5"/>
          <w:sz w:val="20"/>
        </w:rPr>
        <w:t xml:space="preserve"> </w:t>
      </w:r>
      <w:r>
        <w:rPr>
          <w:rFonts w:ascii="Times New Roman" w:hAnsi="Times New Roman"/>
          <w:color w:val="231F20"/>
          <w:sz w:val="20"/>
        </w:rPr>
        <w:t>(2006):</w:t>
      </w:r>
      <w:r>
        <w:rPr>
          <w:rFonts w:ascii="Times New Roman" w:hAnsi="Times New Roman"/>
          <w:color w:val="231F20"/>
          <w:spacing w:val="14"/>
          <w:sz w:val="20"/>
        </w:rPr>
        <w:t xml:space="preserve"> </w:t>
      </w:r>
      <w:r>
        <w:rPr>
          <w:rFonts w:ascii="Times New Roman" w:hAnsi="Times New Roman"/>
          <w:color w:val="231F20"/>
          <w:sz w:val="20"/>
        </w:rPr>
        <w:t>108–112.</w:t>
      </w:r>
      <w:r>
        <w:rPr>
          <w:rFonts w:ascii="Times New Roman" w:hAnsi="Times New Roman"/>
          <w:color w:val="231F20"/>
          <w:spacing w:val="15"/>
          <w:sz w:val="20"/>
        </w:rPr>
        <w:t xml:space="preserve"> </w:t>
      </w:r>
      <w:r>
        <w:rPr>
          <w:rFonts w:ascii="Times New Roman" w:hAnsi="Times New Roman"/>
          <w:color w:val="231F20"/>
          <w:spacing w:val="-2"/>
          <w:sz w:val="20"/>
        </w:rPr>
        <w:t>10.1093/schbul/sbl054</w:t>
      </w:r>
    </w:p>
  </w:footnote>
  <w:footnote w:id="15">
    <w:p w14:paraId="469D85A2" w14:textId="77777777" w:rsidR="0016311B" w:rsidRDefault="0016311B" w:rsidP="0016311B">
      <w:pPr>
        <w:spacing w:before="70"/>
        <w:rPr>
          <w:rFonts w:ascii="Times New Roman" w:hAnsi="Times New Roman"/>
          <w:sz w:val="20"/>
        </w:rPr>
      </w:pPr>
      <w:r>
        <w:rPr>
          <w:rStyle w:val="FootnoteReference"/>
        </w:rPr>
        <w:footnoteRef/>
      </w:r>
      <w:r>
        <w:t xml:space="preserve"> </w:t>
      </w:r>
      <w:r>
        <w:rPr>
          <w:rFonts w:ascii="Times New Roman" w:hAnsi="Times New Roman"/>
          <w:color w:val="231F20"/>
          <w:sz w:val="20"/>
        </w:rPr>
        <w:t>Jon</w:t>
      </w:r>
      <w:r>
        <w:rPr>
          <w:rFonts w:ascii="Times New Roman" w:hAnsi="Times New Roman"/>
          <w:color w:val="231F20"/>
          <w:spacing w:val="20"/>
          <w:sz w:val="20"/>
        </w:rPr>
        <w:t xml:space="preserve"> </w:t>
      </w:r>
      <w:r>
        <w:rPr>
          <w:rFonts w:ascii="Times New Roman" w:hAnsi="Times New Roman"/>
          <w:color w:val="231F20"/>
          <w:sz w:val="20"/>
        </w:rPr>
        <w:t>Franklin,</w:t>
      </w:r>
      <w:r>
        <w:rPr>
          <w:rFonts w:ascii="Times New Roman" w:hAnsi="Times New Roman"/>
          <w:color w:val="231F20"/>
          <w:spacing w:val="21"/>
          <w:sz w:val="20"/>
        </w:rPr>
        <w:t xml:space="preserve"> </w:t>
      </w:r>
      <w:r>
        <w:rPr>
          <w:rFonts w:ascii="Times New Roman" w:hAnsi="Times New Roman"/>
          <w:color w:val="231F20"/>
          <w:sz w:val="20"/>
        </w:rPr>
        <w:t>“</w:t>
      </w:r>
      <w:r>
        <w:rPr>
          <w:rFonts w:ascii="Times New Roman" w:hAnsi="Times New Roman"/>
          <w:i/>
          <w:color w:val="231F20"/>
          <w:sz w:val="20"/>
        </w:rPr>
        <w:t>The</w:t>
      </w:r>
      <w:r>
        <w:rPr>
          <w:rFonts w:ascii="Times New Roman" w:hAnsi="Times New Roman"/>
          <w:i/>
          <w:color w:val="231F20"/>
          <w:spacing w:val="10"/>
          <w:sz w:val="20"/>
        </w:rPr>
        <w:t xml:space="preserve"> </w:t>
      </w:r>
      <w:r>
        <w:rPr>
          <w:rFonts w:ascii="Times New Roman" w:hAnsi="Times New Roman"/>
          <w:i/>
          <w:color w:val="231F20"/>
          <w:sz w:val="20"/>
        </w:rPr>
        <w:t>Mind-Fixers,</w:t>
      </w:r>
      <w:r>
        <w:rPr>
          <w:rFonts w:ascii="Times New Roman" w:hAnsi="Times New Roman"/>
          <w:color w:val="231F20"/>
          <w:sz w:val="20"/>
        </w:rPr>
        <w:t>”</w:t>
      </w:r>
      <w:r>
        <w:rPr>
          <w:rFonts w:ascii="Times New Roman" w:hAnsi="Times New Roman"/>
          <w:color w:val="231F20"/>
          <w:spacing w:val="20"/>
          <w:sz w:val="20"/>
        </w:rPr>
        <w:t xml:space="preserve"> </w:t>
      </w:r>
      <w:r>
        <w:rPr>
          <w:rFonts w:ascii="Times New Roman" w:hAnsi="Times New Roman"/>
          <w:color w:val="231F20"/>
          <w:sz w:val="20"/>
        </w:rPr>
        <w:t>July</w:t>
      </w:r>
      <w:r>
        <w:rPr>
          <w:rFonts w:ascii="Times New Roman" w:hAnsi="Times New Roman"/>
          <w:color w:val="231F20"/>
          <w:spacing w:val="21"/>
          <w:sz w:val="20"/>
        </w:rPr>
        <w:t xml:space="preserve"> </w:t>
      </w:r>
      <w:r>
        <w:rPr>
          <w:rFonts w:ascii="Times New Roman" w:hAnsi="Times New Roman"/>
          <w:color w:val="231F20"/>
          <w:spacing w:val="-2"/>
          <w:sz w:val="20"/>
        </w:rPr>
        <w:t>1984.</w:t>
      </w:r>
    </w:p>
    <w:p w14:paraId="55A0EE6F" w14:textId="241C66E7" w:rsidR="0016311B" w:rsidRDefault="0016311B">
      <w:pPr>
        <w:pStyle w:val="FootnoteText"/>
      </w:pPr>
    </w:p>
  </w:footnote>
  <w:footnote w:id="16">
    <w:p w14:paraId="06B15DEE" w14:textId="77777777" w:rsidR="0016311B" w:rsidRDefault="0016311B" w:rsidP="0016311B">
      <w:pPr>
        <w:spacing w:before="70"/>
        <w:rPr>
          <w:rFonts w:ascii="Times New Roman"/>
          <w:sz w:val="20"/>
        </w:rPr>
      </w:pPr>
      <w:r>
        <w:rPr>
          <w:rStyle w:val="FootnoteReference"/>
        </w:rPr>
        <w:footnoteRef/>
      </w:r>
      <w:r>
        <w:t xml:space="preserve"> </w:t>
      </w:r>
      <w:r>
        <w:rPr>
          <w:rFonts w:ascii="Times New Roman"/>
          <w:color w:val="231F20"/>
          <w:sz w:val="20"/>
        </w:rPr>
        <w:t>Peter</w:t>
      </w:r>
      <w:r>
        <w:rPr>
          <w:rFonts w:ascii="Times New Roman"/>
          <w:color w:val="231F20"/>
          <w:spacing w:val="11"/>
          <w:sz w:val="20"/>
        </w:rPr>
        <w:t xml:space="preserve"> </w:t>
      </w:r>
      <w:r>
        <w:rPr>
          <w:rFonts w:ascii="Times New Roman"/>
          <w:color w:val="231F20"/>
          <w:sz w:val="20"/>
        </w:rPr>
        <w:t>Weiden,</w:t>
      </w:r>
      <w:r>
        <w:rPr>
          <w:rFonts w:ascii="Times New Roman"/>
          <w:color w:val="231F20"/>
          <w:spacing w:val="16"/>
          <w:sz w:val="20"/>
        </w:rPr>
        <w:t xml:space="preserve"> </w:t>
      </w:r>
      <w:r>
        <w:rPr>
          <w:rFonts w:ascii="Times New Roman"/>
          <w:i/>
          <w:color w:val="231F20"/>
          <w:sz w:val="20"/>
        </w:rPr>
        <w:t>Breakthroughs</w:t>
      </w:r>
      <w:r>
        <w:rPr>
          <w:rFonts w:ascii="Times New Roman"/>
          <w:i/>
          <w:color w:val="231F20"/>
          <w:spacing w:val="6"/>
          <w:sz w:val="20"/>
        </w:rPr>
        <w:t xml:space="preserve"> </w:t>
      </w:r>
      <w:r>
        <w:rPr>
          <w:rFonts w:ascii="Times New Roman"/>
          <w:i/>
          <w:color w:val="231F20"/>
          <w:sz w:val="20"/>
        </w:rPr>
        <w:t>in</w:t>
      </w:r>
      <w:r>
        <w:rPr>
          <w:rFonts w:ascii="Times New Roman"/>
          <w:i/>
          <w:color w:val="231F20"/>
          <w:spacing w:val="2"/>
          <w:sz w:val="20"/>
        </w:rPr>
        <w:t xml:space="preserve"> </w:t>
      </w:r>
      <w:r>
        <w:rPr>
          <w:rFonts w:ascii="Times New Roman"/>
          <w:i/>
          <w:color w:val="231F20"/>
          <w:sz w:val="20"/>
        </w:rPr>
        <w:t>Antipsychotic</w:t>
      </w:r>
      <w:r>
        <w:rPr>
          <w:rFonts w:ascii="Times New Roman"/>
          <w:i/>
          <w:color w:val="231F20"/>
          <w:spacing w:val="7"/>
          <w:sz w:val="20"/>
        </w:rPr>
        <w:t xml:space="preserve"> </w:t>
      </w:r>
      <w:r>
        <w:rPr>
          <w:rFonts w:ascii="Times New Roman"/>
          <w:i/>
          <w:color w:val="231F20"/>
          <w:sz w:val="20"/>
        </w:rPr>
        <w:t>Medications</w:t>
      </w:r>
      <w:r>
        <w:rPr>
          <w:rFonts w:ascii="Times New Roman"/>
          <w:i/>
          <w:color w:val="231F20"/>
          <w:spacing w:val="11"/>
          <w:sz w:val="20"/>
        </w:rPr>
        <w:t xml:space="preserve"> </w:t>
      </w:r>
      <w:r>
        <w:rPr>
          <w:rFonts w:ascii="Times New Roman"/>
          <w:color w:val="231F20"/>
          <w:sz w:val="20"/>
        </w:rPr>
        <w:t>(W</w:t>
      </w:r>
      <w:r>
        <w:rPr>
          <w:rFonts w:ascii="Times New Roman"/>
          <w:color w:val="231F20"/>
          <w:spacing w:val="7"/>
          <w:sz w:val="20"/>
        </w:rPr>
        <w:t xml:space="preserve"> </w:t>
      </w:r>
      <w:r>
        <w:rPr>
          <w:rFonts w:ascii="Times New Roman"/>
          <w:color w:val="231F20"/>
          <w:sz w:val="20"/>
        </w:rPr>
        <w:t>W</w:t>
      </w:r>
      <w:r>
        <w:rPr>
          <w:rFonts w:ascii="Times New Roman"/>
          <w:color w:val="231F20"/>
          <w:spacing w:val="11"/>
          <w:sz w:val="20"/>
        </w:rPr>
        <w:t xml:space="preserve"> </w:t>
      </w:r>
      <w:r>
        <w:rPr>
          <w:rFonts w:ascii="Times New Roman"/>
          <w:color w:val="231F20"/>
          <w:sz w:val="20"/>
        </w:rPr>
        <w:t>Norton</w:t>
      </w:r>
      <w:r>
        <w:rPr>
          <w:rFonts w:ascii="Times New Roman"/>
          <w:color w:val="231F20"/>
          <w:spacing w:val="16"/>
          <w:sz w:val="20"/>
        </w:rPr>
        <w:t xml:space="preserve"> </w:t>
      </w:r>
      <w:r>
        <w:rPr>
          <w:rFonts w:ascii="Times New Roman"/>
          <w:color w:val="231F20"/>
          <w:sz w:val="20"/>
        </w:rPr>
        <w:t>&amp;</w:t>
      </w:r>
      <w:r>
        <w:rPr>
          <w:rFonts w:ascii="Times New Roman"/>
          <w:color w:val="231F20"/>
          <w:spacing w:val="16"/>
          <w:sz w:val="20"/>
        </w:rPr>
        <w:t xml:space="preserve"> </w:t>
      </w:r>
      <w:r>
        <w:rPr>
          <w:rFonts w:ascii="Times New Roman"/>
          <w:color w:val="231F20"/>
          <w:sz w:val="20"/>
        </w:rPr>
        <w:t>Company</w:t>
      </w:r>
      <w:r>
        <w:rPr>
          <w:rFonts w:ascii="Times New Roman"/>
          <w:color w:val="231F20"/>
          <w:spacing w:val="16"/>
          <w:sz w:val="20"/>
        </w:rPr>
        <w:t xml:space="preserve"> </w:t>
      </w:r>
      <w:r>
        <w:rPr>
          <w:rFonts w:ascii="Times New Roman"/>
          <w:color w:val="231F20"/>
          <w:sz w:val="20"/>
        </w:rPr>
        <w:t>Incorporated,</w:t>
      </w:r>
      <w:r>
        <w:rPr>
          <w:rFonts w:ascii="Times New Roman"/>
          <w:color w:val="231F20"/>
          <w:spacing w:val="16"/>
          <w:sz w:val="20"/>
        </w:rPr>
        <w:t xml:space="preserve"> </w:t>
      </w:r>
      <w:r>
        <w:rPr>
          <w:rFonts w:ascii="Times New Roman"/>
          <w:color w:val="231F20"/>
          <w:spacing w:val="-2"/>
          <w:sz w:val="20"/>
        </w:rPr>
        <w:t>1999).</w:t>
      </w:r>
    </w:p>
    <w:p w14:paraId="78D32376" w14:textId="5D6D30D3" w:rsidR="0016311B" w:rsidRDefault="0016311B">
      <w:pPr>
        <w:pStyle w:val="FootnoteText"/>
      </w:pPr>
    </w:p>
  </w:footnote>
  <w:footnote w:id="17">
    <w:p w14:paraId="02D72061" w14:textId="0692C287" w:rsidR="000A1CB0" w:rsidRDefault="000A1CB0">
      <w:pPr>
        <w:pStyle w:val="FootnoteText"/>
      </w:pPr>
      <w:r>
        <w:rPr>
          <w:rStyle w:val="FootnoteReference"/>
        </w:rPr>
        <w:footnoteRef/>
      </w:r>
      <w:r>
        <w:t xml:space="preserve"> </w:t>
      </w:r>
      <w:r>
        <w:rPr>
          <w:rFonts w:ascii="Times New Roman"/>
          <w:color w:val="231F20"/>
        </w:rPr>
        <w:t>Robert</w:t>
      </w:r>
      <w:r>
        <w:rPr>
          <w:rFonts w:ascii="Times New Roman"/>
          <w:color w:val="231F20"/>
          <w:spacing w:val="12"/>
        </w:rPr>
        <w:t xml:space="preserve"> </w:t>
      </w:r>
      <w:r>
        <w:rPr>
          <w:rFonts w:ascii="Times New Roman"/>
          <w:color w:val="231F20"/>
        </w:rPr>
        <w:t>Whitaker,</w:t>
      </w:r>
      <w:r>
        <w:rPr>
          <w:rFonts w:ascii="Times New Roman"/>
          <w:color w:val="231F20"/>
          <w:spacing w:val="16"/>
        </w:rPr>
        <w:t xml:space="preserve"> </w:t>
      </w:r>
      <w:r>
        <w:rPr>
          <w:rFonts w:ascii="Times New Roman"/>
          <w:i/>
          <w:color w:val="231F20"/>
        </w:rPr>
        <w:t>Anatomy</w:t>
      </w:r>
      <w:r>
        <w:rPr>
          <w:rFonts w:ascii="Times New Roman"/>
          <w:i/>
          <w:color w:val="231F20"/>
          <w:spacing w:val="7"/>
        </w:rPr>
        <w:t xml:space="preserve"> </w:t>
      </w:r>
      <w:r>
        <w:rPr>
          <w:rFonts w:ascii="Times New Roman"/>
          <w:i/>
          <w:color w:val="231F20"/>
        </w:rPr>
        <w:t>of</w:t>
      </w:r>
      <w:r>
        <w:rPr>
          <w:rFonts w:ascii="Times New Roman"/>
          <w:i/>
          <w:color w:val="231F20"/>
          <w:spacing w:val="6"/>
        </w:rPr>
        <w:t xml:space="preserve"> </w:t>
      </w:r>
      <w:r>
        <w:rPr>
          <w:rFonts w:ascii="Times New Roman"/>
          <w:i/>
          <w:color w:val="231F20"/>
        </w:rPr>
        <w:t>an</w:t>
      </w:r>
      <w:r>
        <w:rPr>
          <w:rFonts w:ascii="Times New Roman"/>
          <w:i/>
          <w:color w:val="231F20"/>
          <w:spacing w:val="8"/>
        </w:rPr>
        <w:t xml:space="preserve"> </w:t>
      </w:r>
      <w:r>
        <w:rPr>
          <w:rFonts w:ascii="Times New Roman"/>
          <w:i/>
          <w:color w:val="231F20"/>
        </w:rPr>
        <w:t>Epidemic</w:t>
      </w:r>
      <w:r>
        <w:rPr>
          <w:rFonts w:ascii="Times New Roman"/>
          <w:i/>
          <w:color w:val="231F20"/>
          <w:spacing w:val="6"/>
        </w:rPr>
        <w:t xml:space="preserve"> </w:t>
      </w:r>
      <w:r>
        <w:rPr>
          <w:rFonts w:ascii="Times New Roman"/>
          <w:color w:val="231F20"/>
        </w:rPr>
        <w:t>(New</w:t>
      </w:r>
      <w:r>
        <w:rPr>
          <w:rFonts w:ascii="Times New Roman"/>
          <w:color w:val="231F20"/>
          <w:spacing w:val="7"/>
        </w:rPr>
        <w:t xml:space="preserve"> </w:t>
      </w:r>
      <w:r>
        <w:rPr>
          <w:rFonts w:ascii="Times New Roman"/>
          <w:color w:val="231F20"/>
        </w:rPr>
        <w:t>York:</w:t>
      </w:r>
      <w:r>
        <w:rPr>
          <w:rFonts w:ascii="Times New Roman"/>
          <w:color w:val="231F20"/>
          <w:spacing w:val="17"/>
        </w:rPr>
        <w:t xml:space="preserve"> </w:t>
      </w:r>
      <w:r>
        <w:rPr>
          <w:rFonts w:ascii="Times New Roman"/>
          <w:color w:val="231F20"/>
        </w:rPr>
        <w:t>Crown,</w:t>
      </w:r>
      <w:r>
        <w:rPr>
          <w:rFonts w:ascii="Times New Roman"/>
          <w:color w:val="231F20"/>
          <w:spacing w:val="17"/>
        </w:rPr>
        <w:t xml:space="preserve"> </w:t>
      </w:r>
      <w:r>
        <w:rPr>
          <w:rFonts w:ascii="Times New Roman"/>
          <w:color w:val="231F20"/>
          <w:spacing w:val="-2"/>
        </w:rPr>
        <w:t>2010).</w:t>
      </w:r>
    </w:p>
  </w:footnote>
  <w:footnote w:id="18">
    <w:p w14:paraId="13CE562F" w14:textId="2D71C1F8" w:rsidR="000A1CB0" w:rsidRDefault="000A1CB0">
      <w:pPr>
        <w:pStyle w:val="FootnoteText"/>
      </w:pPr>
      <w:r>
        <w:rPr>
          <w:rStyle w:val="FootnoteReference"/>
        </w:rPr>
        <w:footnoteRef/>
      </w:r>
      <w:r>
        <w:t xml:space="preserve"> </w:t>
      </w:r>
      <w:r>
        <w:rPr>
          <w:rFonts w:ascii="Times New Roman" w:hAnsi="Times New Roman"/>
          <w:color w:val="231F20"/>
        </w:rPr>
        <w:t>Thomas</w:t>
      </w:r>
      <w:r>
        <w:rPr>
          <w:rFonts w:ascii="Times New Roman" w:hAnsi="Times New Roman"/>
          <w:color w:val="231F20"/>
          <w:spacing w:val="23"/>
        </w:rPr>
        <w:t xml:space="preserve"> </w:t>
      </w:r>
      <w:r>
        <w:rPr>
          <w:rFonts w:ascii="Times New Roman" w:hAnsi="Times New Roman"/>
          <w:color w:val="231F20"/>
        </w:rPr>
        <w:t>J.</w:t>
      </w:r>
      <w:r>
        <w:rPr>
          <w:rFonts w:ascii="Times New Roman" w:hAnsi="Times New Roman"/>
          <w:color w:val="231F20"/>
          <w:spacing w:val="24"/>
        </w:rPr>
        <w:t xml:space="preserve"> </w:t>
      </w:r>
      <w:r>
        <w:rPr>
          <w:rFonts w:ascii="Times New Roman" w:hAnsi="Times New Roman"/>
          <w:color w:val="231F20"/>
        </w:rPr>
        <w:t>Moore</w:t>
      </w:r>
      <w:r>
        <w:rPr>
          <w:rFonts w:ascii="Times New Roman" w:hAnsi="Times New Roman"/>
          <w:color w:val="231F20"/>
          <w:spacing w:val="24"/>
        </w:rPr>
        <w:t xml:space="preserve"> </w:t>
      </w:r>
      <w:r>
        <w:rPr>
          <w:rFonts w:ascii="Times New Roman" w:hAnsi="Times New Roman"/>
          <w:color w:val="231F20"/>
        </w:rPr>
        <w:t>and</w:t>
      </w:r>
      <w:r>
        <w:rPr>
          <w:rFonts w:ascii="Times New Roman" w:hAnsi="Times New Roman"/>
          <w:color w:val="231F20"/>
          <w:spacing w:val="24"/>
        </w:rPr>
        <w:t xml:space="preserve"> </w:t>
      </w:r>
      <w:r>
        <w:rPr>
          <w:rFonts w:ascii="Times New Roman" w:hAnsi="Times New Roman"/>
          <w:color w:val="231F20"/>
        </w:rPr>
        <w:t>Donald</w:t>
      </w:r>
      <w:r>
        <w:rPr>
          <w:rFonts w:ascii="Times New Roman" w:hAnsi="Times New Roman"/>
          <w:color w:val="231F20"/>
          <w:spacing w:val="24"/>
        </w:rPr>
        <w:t xml:space="preserve"> </w:t>
      </w:r>
      <w:r>
        <w:rPr>
          <w:rFonts w:ascii="Times New Roman" w:hAnsi="Times New Roman"/>
          <w:color w:val="231F20"/>
        </w:rPr>
        <w:t>R.</w:t>
      </w:r>
      <w:r>
        <w:rPr>
          <w:rFonts w:ascii="Times New Roman" w:hAnsi="Times New Roman"/>
          <w:color w:val="231F20"/>
          <w:spacing w:val="24"/>
        </w:rPr>
        <w:t xml:space="preserve"> </w:t>
      </w:r>
      <w:r>
        <w:rPr>
          <w:rFonts w:ascii="Times New Roman" w:hAnsi="Times New Roman"/>
          <w:color w:val="231F20"/>
        </w:rPr>
        <w:t>Mattison,</w:t>
      </w:r>
      <w:r>
        <w:rPr>
          <w:rFonts w:ascii="Times New Roman" w:hAnsi="Times New Roman"/>
          <w:color w:val="231F20"/>
          <w:spacing w:val="24"/>
        </w:rPr>
        <w:t xml:space="preserve"> </w:t>
      </w:r>
      <w:r>
        <w:rPr>
          <w:rFonts w:ascii="Times New Roman" w:hAnsi="Times New Roman"/>
          <w:color w:val="231F20"/>
        </w:rPr>
        <w:t>“Adult</w:t>
      </w:r>
      <w:r>
        <w:rPr>
          <w:rFonts w:ascii="Times New Roman" w:hAnsi="Times New Roman"/>
          <w:color w:val="231F20"/>
          <w:spacing w:val="24"/>
        </w:rPr>
        <w:t xml:space="preserve"> </w:t>
      </w:r>
      <w:r>
        <w:rPr>
          <w:rFonts w:ascii="Times New Roman" w:hAnsi="Times New Roman"/>
          <w:color w:val="231F20"/>
        </w:rPr>
        <w:t>Utilization</w:t>
      </w:r>
      <w:r>
        <w:rPr>
          <w:rFonts w:ascii="Times New Roman" w:hAnsi="Times New Roman"/>
          <w:color w:val="231F20"/>
          <w:spacing w:val="24"/>
        </w:rPr>
        <w:t xml:space="preserve"> </w:t>
      </w:r>
      <w:r>
        <w:rPr>
          <w:rFonts w:ascii="Times New Roman" w:hAnsi="Times New Roman"/>
          <w:color w:val="231F20"/>
        </w:rPr>
        <w:t>of</w:t>
      </w:r>
      <w:r>
        <w:rPr>
          <w:rFonts w:ascii="Times New Roman" w:hAnsi="Times New Roman"/>
          <w:color w:val="231F20"/>
          <w:spacing w:val="24"/>
        </w:rPr>
        <w:t xml:space="preserve"> </w:t>
      </w:r>
      <w:r>
        <w:rPr>
          <w:rFonts w:ascii="Times New Roman" w:hAnsi="Times New Roman"/>
          <w:color w:val="231F20"/>
        </w:rPr>
        <w:t>Psychiatric</w:t>
      </w:r>
      <w:r>
        <w:rPr>
          <w:rFonts w:ascii="Times New Roman" w:hAnsi="Times New Roman"/>
          <w:color w:val="231F20"/>
          <w:spacing w:val="24"/>
        </w:rPr>
        <w:t xml:space="preserve"> </w:t>
      </w:r>
      <w:r>
        <w:rPr>
          <w:rFonts w:ascii="Times New Roman" w:hAnsi="Times New Roman"/>
          <w:color w:val="231F20"/>
        </w:rPr>
        <w:t>Drugs</w:t>
      </w:r>
      <w:r>
        <w:rPr>
          <w:rFonts w:ascii="Times New Roman" w:hAnsi="Times New Roman"/>
          <w:color w:val="231F20"/>
          <w:spacing w:val="23"/>
        </w:rPr>
        <w:t xml:space="preserve"> </w:t>
      </w:r>
      <w:r>
        <w:rPr>
          <w:rFonts w:ascii="Times New Roman" w:hAnsi="Times New Roman"/>
          <w:color w:val="231F20"/>
        </w:rPr>
        <w:t>and</w:t>
      </w:r>
      <w:r>
        <w:rPr>
          <w:rFonts w:ascii="Times New Roman" w:hAnsi="Times New Roman"/>
          <w:color w:val="231F20"/>
          <w:spacing w:val="24"/>
        </w:rPr>
        <w:t xml:space="preserve"> </w:t>
      </w:r>
      <w:r>
        <w:rPr>
          <w:rFonts w:ascii="Times New Roman" w:hAnsi="Times New Roman"/>
          <w:color w:val="231F20"/>
        </w:rPr>
        <w:t>Differences</w:t>
      </w:r>
      <w:r>
        <w:rPr>
          <w:rFonts w:ascii="Times New Roman" w:hAnsi="Times New Roman"/>
          <w:color w:val="231F20"/>
          <w:spacing w:val="23"/>
        </w:rPr>
        <w:t xml:space="preserve"> </w:t>
      </w:r>
      <w:r>
        <w:rPr>
          <w:rFonts w:ascii="Times New Roman" w:hAnsi="Times New Roman"/>
          <w:color w:val="231F20"/>
        </w:rPr>
        <w:t>by</w:t>
      </w:r>
      <w:r>
        <w:rPr>
          <w:rFonts w:ascii="Times New Roman" w:hAnsi="Times New Roman"/>
          <w:color w:val="231F20"/>
          <w:spacing w:val="24"/>
        </w:rPr>
        <w:t xml:space="preserve"> </w:t>
      </w:r>
      <w:r>
        <w:rPr>
          <w:rFonts w:ascii="Times New Roman" w:hAnsi="Times New Roman"/>
          <w:color w:val="231F20"/>
        </w:rPr>
        <w:t>Sex, Age,</w:t>
      </w:r>
      <w:r>
        <w:rPr>
          <w:rFonts w:ascii="Times New Roman" w:hAnsi="Times New Roman"/>
          <w:color w:val="231F20"/>
          <w:spacing w:val="24"/>
        </w:rPr>
        <w:t xml:space="preserve"> </w:t>
      </w:r>
      <w:r>
        <w:rPr>
          <w:rFonts w:ascii="Times New Roman" w:hAnsi="Times New Roman"/>
          <w:color w:val="231F20"/>
        </w:rPr>
        <w:t>and Race,”</w:t>
      </w:r>
      <w:r>
        <w:rPr>
          <w:rFonts w:ascii="Times New Roman" w:hAnsi="Times New Roman"/>
          <w:color w:val="231F20"/>
          <w:spacing w:val="40"/>
        </w:rPr>
        <w:t xml:space="preserve"> </w:t>
      </w:r>
      <w:r>
        <w:rPr>
          <w:rFonts w:ascii="Times New Roman" w:hAnsi="Times New Roman"/>
          <w:i/>
          <w:color w:val="231F20"/>
        </w:rPr>
        <w:t>JAMA Intern Med</w:t>
      </w:r>
      <w:r>
        <w:rPr>
          <w:rFonts w:ascii="Times New Roman" w:hAnsi="Times New Roman"/>
          <w:i/>
          <w:color w:val="231F20"/>
          <w:spacing w:val="40"/>
        </w:rPr>
        <w:t xml:space="preserve"> </w:t>
      </w:r>
      <w:r>
        <w:rPr>
          <w:rFonts w:ascii="Times New Roman" w:hAnsi="Times New Roman"/>
          <w:color w:val="231F20"/>
        </w:rPr>
        <w:t>177</w:t>
      </w:r>
      <w:r>
        <w:rPr>
          <w:rFonts w:ascii="Times New Roman" w:hAnsi="Times New Roman"/>
          <w:color w:val="231F20"/>
          <w:spacing w:val="40"/>
        </w:rPr>
        <w:t xml:space="preserve"> </w:t>
      </w:r>
      <w:r>
        <w:rPr>
          <w:rFonts w:ascii="Times New Roman" w:hAnsi="Times New Roman"/>
          <w:color w:val="231F20"/>
        </w:rPr>
        <w:t>(2017):</w:t>
      </w:r>
      <w:r>
        <w:rPr>
          <w:rFonts w:ascii="Times New Roman" w:hAnsi="Times New Roman"/>
          <w:color w:val="231F20"/>
          <w:spacing w:val="40"/>
        </w:rPr>
        <w:t xml:space="preserve"> </w:t>
      </w:r>
      <w:r>
        <w:rPr>
          <w:rFonts w:ascii="Times New Roman" w:hAnsi="Times New Roman"/>
          <w:color w:val="231F20"/>
        </w:rPr>
        <w:t>274.</w:t>
      </w:r>
      <w:r>
        <w:rPr>
          <w:rFonts w:ascii="Times New Roman" w:hAnsi="Times New Roman"/>
          <w:color w:val="231F20"/>
          <w:spacing w:val="40"/>
        </w:rPr>
        <w:t xml:space="preserve"> </w:t>
      </w:r>
      <w:r>
        <w:rPr>
          <w:rFonts w:ascii="Times New Roman" w:hAnsi="Times New Roman"/>
          <w:color w:val="231F20"/>
        </w:rPr>
        <w:t>10.1001/jamainternmed.2016.7507.</w:t>
      </w:r>
    </w:p>
  </w:footnote>
  <w:footnote w:id="19">
    <w:p w14:paraId="49C62FDD" w14:textId="639EEB57" w:rsidR="000A1CB0" w:rsidRDefault="000A1CB0">
      <w:pPr>
        <w:pStyle w:val="FootnoteText"/>
      </w:pPr>
      <w:r>
        <w:rPr>
          <w:rStyle w:val="FootnoteReference"/>
        </w:rPr>
        <w:footnoteRef/>
      </w:r>
      <w:r>
        <w:t xml:space="preserve"> </w:t>
      </w:r>
      <w:r>
        <w:rPr>
          <w:rFonts w:ascii="Times New Roman"/>
          <w:color w:val="231F20"/>
        </w:rPr>
        <w:t>Whitaker,</w:t>
      </w:r>
      <w:r>
        <w:rPr>
          <w:rFonts w:ascii="Times New Roman"/>
          <w:color w:val="231F20"/>
          <w:spacing w:val="15"/>
        </w:rPr>
        <w:t xml:space="preserve"> </w:t>
      </w:r>
      <w:r>
        <w:rPr>
          <w:rFonts w:ascii="Times New Roman"/>
          <w:i/>
          <w:color w:val="231F20"/>
        </w:rPr>
        <w:t>Anatomy</w:t>
      </w:r>
      <w:r>
        <w:rPr>
          <w:rFonts w:ascii="Times New Roman"/>
          <w:i/>
          <w:color w:val="231F20"/>
          <w:spacing w:val="7"/>
        </w:rPr>
        <w:t xml:space="preserve"> </w:t>
      </w:r>
      <w:r>
        <w:rPr>
          <w:rFonts w:ascii="Times New Roman"/>
          <w:i/>
          <w:color w:val="231F20"/>
        </w:rPr>
        <w:t>of</w:t>
      </w:r>
      <w:r>
        <w:rPr>
          <w:rFonts w:ascii="Times New Roman"/>
          <w:i/>
          <w:color w:val="231F20"/>
          <w:spacing w:val="7"/>
        </w:rPr>
        <w:t xml:space="preserve"> </w:t>
      </w:r>
      <w:r>
        <w:rPr>
          <w:rFonts w:ascii="Times New Roman"/>
          <w:i/>
          <w:color w:val="231F20"/>
        </w:rPr>
        <w:t>an</w:t>
      </w:r>
      <w:r>
        <w:rPr>
          <w:rFonts w:ascii="Times New Roman"/>
          <w:i/>
          <w:color w:val="231F20"/>
          <w:spacing w:val="8"/>
        </w:rPr>
        <w:t xml:space="preserve"> </w:t>
      </w:r>
      <w:r>
        <w:rPr>
          <w:rFonts w:ascii="Times New Roman"/>
          <w:i/>
          <w:color w:val="231F20"/>
          <w:spacing w:val="-2"/>
        </w:rPr>
        <w:t>Epidemic.</w:t>
      </w:r>
    </w:p>
  </w:footnote>
  <w:footnote w:id="20">
    <w:p w14:paraId="564680E2" w14:textId="77C54B33" w:rsidR="000A1CB0" w:rsidRDefault="000A1CB0">
      <w:pPr>
        <w:pStyle w:val="FootnoteText"/>
      </w:pPr>
      <w:r>
        <w:rPr>
          <w:rStyle w:val="FootnoteReference"/>
        </w:rPr>
        <w:footnoteRef/>
      </w:r>
      <w:r>
        <w:t xml:space="preserve"> </w:t>
      </w:r>
      <w:r w:rsidRPr="000A1CB0">
        <w:t xml:space="preserve">J. Swazey, </w:t>
      </w:r>
      <w:r w:rsidRPr="000A1CB0">
        <w:rPr>
          <w:i/>
        </w:rPr>
        <w:t xml:space="preserve">Chlorpromazine in Psychiatry </w:t>
      </w:r>
      <w:r w:rsidRPr="000A1CB0">
        <w:t>(Cambridge, MA: MIT Press, 1974).</w:t>
      </w:r>
    </w:p>
  </w:footnote>
  <w:footnote w:id="21">
    <w:p w14:paraId="2816E12E" w14:textId="0A67EC48" w:rsidR="00F915B1" w:rsidRDefault="00F915B1">
      <w:pPr>
        <w:pStyle w:val="FootnoteText"/>
      </w:pPr>
      <w:r>
        <w:rPr>
          <w:rStyle w:val="FootnoteReference"/>
        </w:rPr>
        <w:footnoteRef/>
      </w:r>
      <w:r>
        <w:t xml:space="preserve"> </w:t>
      </w:r>
      <w:r>
        <w:rPr>
          <w:rFonts w:ascii="Times New Roman"/>
          <w:color w:val="231F20"/>
        </w:rPr>
        <w:t>F.</w:t>
      </w:r>
      <w:r>
        <w:rPr>
          <w:rFonts w:ascii="Times New Roman"/>
          <w:color w:val="231F20"/>
          <w:spacing w:val="4"/>
        </w:rPr>
        <w:t xml:space="preserve"> </w:t>
      </w:r>
      <w:r>
        <w:rPr>
          <w:rFonts w:ascii="Times New Roman"/>
          <w:color w:val="231F20"/>
        </w:rPr>
        <w:t>Ayd,</w:t>
      </w:r>
      <w:r>
        <w:rPr>
          <w:rFonts w:ascii="Times New Roman"/>
          <w:color w:val="231F20"/>
          <w:spacing w:val="17"/>
        </w:rPr>
        <w:t xml:space="preserve"> </w:t>
      </w:r>
      <w:r>
        <w:rPr>
          <w:rFonts w:ascii="Times New Roman"/>
          <w:color w:val="231F20"/>
        </w:rPr>
        <w:t>Jr.,</w:t>
      </w:r>
      <w:r>
        <w:rPr>
          <w:rFonts w:ascii="Times New Roman"/>
          <w:color w:val="231F20"/>
          <w:spacing w:val="12"/>
        </w:rPr>
        <w:t xml:space="preserve"> </w:t>
      </w:r>
      <w:r>
        <w:rPr>
          <w:rFonts w:ascii="Times New Roman"/>
          <w:i/>
          <w:color w:val="231F20"/>
        </w:rPr>
        <w:t>Discoveries</w:t>
      </w:r>
      <w:r>
        <w:rPr>
          <w:rFonts w:ascii="Times New Roman"/>
          <w:i/>
          <w:color w:val="231F20"/>
          <w:spacing w:val="6"/>
        </w:rPr>
        <w:t xml:space="preserve"> </w:t>
      </w:r>
      <w:r>
        <w:rPr>
          <w:rFonts w:ascii="Times New Roman"/>
          <w:i/>
          <w:color w:val="231F20"/>
        </w:rPr>
        <w:t>in</w:t>
      </w:r>
      <w:r>
        <w:rPr>
          <w:rFonts w:ascii="Times New Roman"/>
          <w:i/>
          <w:color w:val="231F20"/>
          <w:spacing w:val="7"/>
        </w:rPr>
        <w:t xml:space="preserve"> </w:t>
      </w:r>
      <w:r>
        <w:rPr>
          <w:rFonts w:ascii="Times New Roman"/>
          <w:i/>
          <w:color w:val="231F20"/>
        </w:rPr>
        <w:t>Biological</w:t>
      </w:r>
      <w:r>
        <w:rPr>
          <w:rFonts w:ascii="Times New Roman"/>
          <w:i/>
          <w:color w:val="231F20"/>
          <w:spacing w:val="8"/>
        </w:rPr>
        <w:t xml:space="preserve"> </w:t>
      </w:r>
      <w:r>
        <w:rPr>
          <w:rFonts w:ascii="Times New Roman"/>
          <w:i/>
          <w:color w:val="231F20"/>
        </w:rPr>
        <w:t>Psychiatry</w:t>
      </w:r>
      <w:r>
        <w:rPr>
          <w:rFonts w:ascii="Times New Roman"/>
          <w:i/>
          <w:color w:val="231F20"/>
          <w:spacing w:val="7"/>
        </w:rPr>
        <w:t xml:space="preserve"> </w:t>
      </w:r>
      <w:r>
        <w:rPr>
          <w:rFonts w:ascii="Times New Roman"/>
          <w:color w:val="231F20"/>
        </w:rPr>
        <w:t>(Philadelphia:</w:t>
      </w:r>
      <w:r>
        <w:rPr>
          <w:rFonts w:ascii="Times New Roman"/>
          <w:color w:val="231F20"/>
          <w:spacing w:val="17"/>
        </w:rPr>
        <w:t xml:space="preserve"> </w:t>
      </w:r>
      <w:r>
        <w:rPr>
          <w:rFonts w:ascii="Times New Roman"/>
          <w:color w:val="231F20"/>
        </w:rPr>
        <w:t>Lippincott,</w:t>
      </w:r>
      <w:r>
        <w:rPr>
          <w:rFonts w:ascii="Times New Roman"/>
          <w:color w:val="231F20"/>
          <w:spacing w:val="17"/>
        </w:rPr>
        <w:t xml:space="preserve"> </w:t>
      </w:r>
      <w:r>
        <w:rPr>
          <w:rFonts w:ascii="Times New Roman"/>
          <w:color w:val="231F20"/>
          <w:spacing w:val="-2"/>
        </w:rPr>
        <w:t>1970).</w:t>
      </w:r>
    </w:p>
  </w:footnote>
  <w:footnote w:id="22">
    <w:p w14:paraId="11DBF50F" w14:textId="77777777" w:rsidR="00F915B1" w:rsidRDefault="00F915B1" w:rsidP="008D604B">
      <w:pPr>
        <w:spacing w:before="70"/>
        <w:rPr>
          <w:rFonts w:ascii="Times New Roman" w:hAnsi="Times New Roman"/>
          <w:sz w:val="20"/>
        </w:rPr>
      </w:pPr>
      <w:r>
        <w:rPr>
          <w:rStyle w:val="FootnoteReference"/>
        </w:rPr>
        <w:footnoteRef/>
      </w:r>
      <w:r>
        <w:t xml:space="preserve"> </w:t>
      </w:r>
      <w:r>
        <w:rPr>
          <w:rFonts w:ascii="Times New Roman" w:hAnsi="Times New Roman"/>
          <w:color w:val="231F20"/>
          <w:sz w:val="20"/>
        </w:rPr>
        <w:t>“TB</w:t>
      </w:r>
      <w:r>
        <w:rPr>
          <w:rFonts w:ascii="Times New Roman" w:hAnsi="Times New Roman"/>
          <w:color w:val="231F20"/>
          <w:spacing w:val="16"/>
          <w:sz w:val="20"/>
        </w:rPr>
        <w:t xml:space="preserve"> </w:t>
      </w:r>
      <w:r>
        <w:rPr>
          <w:rFonts w:ascii="Times New Roman" w:hAnsi="Times New Roman"/>
          <w:color w:val="231F20"/>
          <w:sz w:val="20"/>
        </w:rPr>
        <w:t>Drug</w:t>
      </w:r>
      <w:r>
        <w:rPr>
          <w:rFonts w:ascii="Times New Roman" w:hAnsi="Times New Roman"/>
          <w:color w:val="231F20"/>
          <w:spacing w:val="15"/>
          <w:sz w:val="20"/>
        </w:rPr>
        <w:t xml:space="preserve"> </w:t>
      </w:r>
      <w:r>
        <w:rPr>
          <w:rFonts w:ascii="Times New Roman" w:hAnsi="Times New Roman"/>
          <w:color w:val="231F20"/>
          <w:sz w:val="20"/>
        </w:rPr>
        <w:t>Is</w:t>
      </w:r>
      <w:r>
        <w:rPr>
          <w:rFonts w:ascii="Times New Roman" w:hAnsi="Times New Roman"/>
          <w:color w:val="231F20"/>
          <w:spacing w:val="11"/>
          <w:sz w:val="20"/>
        </w:rPr>
        <w:t xml:space="preserve"> </w:t>
      </w:r>
      <w:r>
        <w:rPr>
          <w:rFonts w:ascii="Times New Roman" w:hAnsi="Times New Roman"/>
          <w:color w:val="231F20"/>
          <w:sz w:val="20"/>
        </w:rPr>
        <w:t>Tried</w:t>
      </w:r>
      <w:r>
        <w:rPr>
          <w:rFonts w:ascii="Times New Roman" w:hAnsi="Times New Roman"/>
          <w:color w:val="231F20"/>
          <w:spacing w:val="16"/>
          <w:sz w:val="20"/>
        </w:rPr>
        <w:t xml:space="preserve"> </w:t>
      </w:r>
      <w:r>
        <w:rPr>
          <w:rFonts w:ascii="Times New Roman" w:hAnsi="Times New Roman"/>
          <w:color w:val="231F20"/>
          <w:sz w:val="20"/>
        </w:rPr>
        <w:t>In</w:t>
      </w:r>
      <w:r>
        <w:rPr>
          <w:rFonts w:ascii="Times New Roman" w:hAnsi="Times New Roman"/>
          <w:color w:val="231F20"/>
          <w:spacing w:val="15"/>
          <w:sz w:val="20"/>
        </w:rPr>
        <w:t xml:space="preserve"> </w:t>
      </w:r>
      <w:r>
        <w:rPr>
          <w:rFonts w:ascii="Times New Roman" w:hAnsi="Times New Roman"/>
          <w:color w:val="231F20"/>
          <w:sz w:val="20"/>
        </w:rPr>
        <w:t>Mental</w:t>
      </w:r>
      <w:r>
        <w:rPr>
          <w:rFonts w:ascii="Times New Roman" w:hAnsi="Times New Roman"/>
          <w:color w:val="231F20"/>
          <w:spacing w:val="16"/>
          <w:sz w:val="20"/>
        </w:rPr>
        <w:t xml:space="preserve"> </w:t>
      </w:r>
      <w:r>
        <w:rPr>
          <w:rFonts w:ascii="Times New Roman" w:hAnsi="Times New Roman"/>
          <w:color w:val="231F20"/>
          <w:sz w:val="20"/>
        </w:rPr>
        <w:t>Cases,”</w:t>
      </w:r>
      <w:r>
        <w:rPr>
          <w:rFonts w:ascii="Times New Roman" w:hAnsi="Times New Roman"/>
          <w:color w:val="231F20"/>
          <w:spacing w:val="15"/>
          <w:sz w:val="20"/>
        </w:rPr>
        <w:t xml:space="preserve"> </w:t>
      </w:r>
      <w:r>
        <w:rPr>
          <w:rFonts w:ascii="Times New Roman" w:hAnsi="Times New Roman"/>
          <w:i/>
          <w:color w:val="231F20"/>
          <w:sz w:val="20"/>
        </w:rPr>
        <w:t>New</w:t>
      </w:r>
      <w:r>
        <w:rPr>
          <w:rFonts w:ascii="Times New Roman" w:hAnsi="Times New Roman"/>
          <w:i/>
          <w:color w:val="231F20"/>
          <w:spacing w:val="7"/>
          <w:sz w:val="20"/>
        </w:rPr>
        <w:t xml:space="preserve"> </w:t>
      </w:r>
      <w:r>
        <w:rPr>
          <w:rFonts w:ascii="Times New Roman" w:hAnsi="Times New Roman"/>
          <w:i/>
          <w:color w:val="231F20"/>
          <w:sz w:val="20"/>
        </w:rPr>
        <w:t>York</w:t>
      </w:r>
      <w:r>
        <w:rPr>
          <w:rFonts w:ascii="Times New Roman" w:hAnsi="Times New Roman"/>
          <w:i/>
          <w:color w:val="231F20"/>
          <w:spacing w:val="6"/>
          <w:sz w:val="20"/>
        </w:rPr>
        <w:t xml:space="preserve"> </w:t>
      </w:r>
      <w:r>
        <w:rPr>
          <w:rFonts w:ascii="Times New Roman" w:hAnsi="Times New Roman"/>
          <w:i/>
          <w:color w:val="231F20"/>
          <w:sz w:val="20"/>
        </w:rPr>
        <w:t>Times,</w:t>
      </w:r>
      <w:r>
        <w:rPr>
          <w:rFonts w:ascii="Times New Roman" w:hAnsi="Times New Roman"/>
          <w:i/>
          <w:color w:val="231F20"/>
          <w:spacing w:val="-2"/>
          <w:sz w:val="20"/>
        </w:rPr>
        <w:t xml:space="preserve"> </w:t>
      </w:r>
      <w:r>
        <w:rPr>
          <w:rFonts w:ascii="Times New Roman" w:hAnsi="Times New Roman"/>
          <w:color w:val="231F20"/>
          <w:sz w:val="20"/>
        </w:rPr>
        <w:t>April</w:t>
      </w:r>
      <w:r>
        <w:rPr>
          <w:rFonts w:ascii="Times New Roman" w:hAnsi="Times New Roman"/>
          <w:color w:val="231F20"/>
          <w:spacing w:val="15"/>
          <w:sz w:val="20"/>
        </w:rPr>
        <w:t xml:space="preserve"> </w:t>
      </w:r>
      <w:r>
        <w:rPr>
          <w:rFonts w:ascii="Times New Roman" w:hAnsi="Times New Roman"/>
          <w:color w:val="231F20"/>
          <w:sz w:val="20"/>
        </w:rPr>
        <w:t>7,</w:t>
      </w:r>
      <w:r>
        <w:rPr>
          <w:rFonts w:ascii="Times New Roman" w:hAnsi="Times New Roman"/>
          <w:color w:val="231F20"/>
          <w:spacing w:val="16"/>
          <w:sz w:val="20"/>
        </w:rPr>
        <w:t xml:space="preserve"> </w:t>
      </w:r>
      <w:r>
        <w:rPr>
          <w:rFonts w:ascii="Times New Roman" w:hAnsi="Times New Roman"/>
          <w:color w:val="231F20"/>
          <w:spacing w:val="-2"/>
          <w:sz w:val="20"/>
        </w:rPr>
        <w:t>1957.</w:t>
      </w:r>
    </w:p>
    <w:p w14:paraId="0D99AC2C" w14:textId="3E54FB0B" w:rsidR="00F915B1" w:rsidRDefault="00F915B1">
      <w:pPr>
        <w:pStyle w:val="FootnoteText"/>
      </w:pPr>
    </w:p>
  </w:footnote>
  <w:footnote w:id="23">
    <w:p w14:paraId="59FEA8FB" w14:textId="77777777" w:rsidR="00F915B1" w:rsidRPr="00F915B1" w:rsidRDefault="00F915B1" w:rsidP="00F915B1">
      <w:pPr>
        <w:pStyle w:val="FootnoteText"/>
      </w:pPr>
      <w:r>
        <w:rPr>
          <w:rStyle w:val="FootnoteReference"/>
        </w:rPr>
        <w:footnoteRef/>
      </w:r>
      <w:r>
        <w:t xml:space="preserve"> </w:t>
      </w:r>
      <w:r w:rsidRPr="00F915B1">
        <w:t xml:space="preserve">M. Smith, </w:t>
      </w:r>
      <w:r w:rsidRPr="00F915B1">
        <w:rPr>
          <w:i/>
        </w:rPr>
        <w:t xml:space="preserve">Small Comfort </w:t>
      </w:r>
      <w:r w:rsidRPr="00F915B1">
        <w:t>(New York City: Praeger, 1985).</w:t>
      </w:r>
    </w:p>
    <w:p w14:paraId="5777B47E" w14:textId="19A5804D" w:rsidR="00F915B1" w:rsidRDefault="00F915B1">
      <w:pPr>
        <w:pStyle w:val="FootnoteText"/>
      </w:pPr>
    </w:p>
  </w:footnote>
  <w:footnote w:id="24">
    <w:p w14:paraId="1B029C0E" w14:textId="67BCE2B7" w:rsidR="008D604B" w:rsidRDefault="008D604B">
      <w:pPr>
        <w:pStyle w:val="FootnoteText"/>
      </w:pPr>
      <w:r>
        <w:rPr>
          <w:rStyle w:val="FootnoteReference"/>
        </w:rPr>
        <w:footnoteRef/>
      </w:r>
      <w:r>
        <w:t xml:space="preserve"> </w:t>
      </w:r>
      <w:r>
        <w:rPr>
          <w:rFonts w:ascii="Times New Roman"/>
          <w:color w:val="231F20"/>
        </w:rPr>
        <w:t>M.</w:t>
      </w:r>
      <w:r>
        <w:rPr>
          <w:rFonts w:ascii="Times New Roman"/>
          <w:color w:val="231F20"/>
          <w:spacing w:val="18"/>
        </w:rPr>
        <w:t xml:space="preserve"> </w:t>
      </w:r>
      <w:r>
        <w:rPr>
          <w:rFonts w:ascii="Times New Roman"/>
          <w:color w:val="231F20"/>
        </w:rPr>
        <w:t>Smith,</w:t>
      </w:r>
      <w:r>
        <w:rPr>
          <w:rFonts w:ascii="Times New Roman"/>
          <w:color w:val="231F20"/>
          <w:spacing w:val="18"/>
        </w:rPr>
        <w:t xml:space="preserve"> </w:t>
      </w:r>
      <w:r>
        <w:rPr>
          <w:rFonts w:ascii="Times New Roman"/>
          <w:i/>
          <w:color w:val="231F20"/>
        </w:rPr>
        <w:t>Small</w:t>
      </w:r>
      <w:r>
        <w:rPr>
          <w:rFonts w:ascii="Times New Roman"/>
          <w:i/>
          <w:color w:val="231F20"/>
          <w:spacing w:val="8"/>
        </w:rPr>
        <w:t xml:space="preserve"> </w:t>
      </w:r>
      <w:r>
        <w:rPr>
          <w:rFonts w:ascii="Times New Roman"/>
          <w:i/>
          <w:color w:val="231F20"/>
        </w:rPr>
        <w:t>Comfort</w:t>
      </w:r>
      <w:r>
        <w:rPr>
          <w:rFonts w:ascii="Times New Roman"/>
          <w:i/>
          <w:color w:val="231F20"/>
          <w:spacing w:val="8"/>
        </w:rPr>
        <w:t xml:space="preserve"> </w:t>
      </w:r>
      <w:r>
        <w:rPr>
          <w:rFonts w:ascii="Times New Roman"/>
          <w:color w:val="231F20"/>
        </w:rPr>
        <w:t>(New</w:t>
      </w:r>
      <w:r>
        <w:rPr>
          <w:rFonts w:ascii="Times New Roman"/>
          <w:color w:val="231F20"/>
          <w:spacing w:val="9"/>
        </w:rPr>
        <w:t xml:space="preserve"> </w:t>
      </w:r>
      <w:r>
        <w:rPr>
          <w:rFonts w:ascii="Times New Roman"/>
          <w:color w:val="231F20"/>
        </w:rPr>
        <w:t>York</w:t>
      </w:r>
      <w:r>
        <w:rPr>
          <w:rFonts w:ascii="Times New Roman"/>
          <w:color w:val="231F20"/>
          <w:spacing w:val="17"/>
        </w:rPr>
        <w:t xml:space="preserve"> </w:t>
      </w:r>
      <w:r>
        <w:rPr>
          <w:rFonts w:ascii="Times New Roman"/>
          <w:color w:val="231F20"/>
        </w:rPr>
        <w:t>City:</w:t>
      </w:r>
      <w:r>
        <w:rPr>
          <w:rFonts w:ascii="Times New Roman"/>
          <w:color w:val="231F20"/>
          <w:spacing w:val="18"/>
        </w:rPr>
        <w:t xml:space="preserve"> </w:t>
      </w:r>
      <w:r>
        <w:rPr>
          <w:rFonts w:ascii="Times New Roman"/>
          <w:color w:val="231F20"/>
        </w:rPr>
        <w:t>Praeger,</w:t>
      </w:r>
      <w:r>
        <w:rPr>
          <w:rFonts w:ascii="Times New Roman"/>
          <w:color w:val="231F20"/>
          <w:spacing w:val="18"/>
        </w:rPr>
        <w:t xml:space="preserve"> </w:t>
      </w:r>
      <w:r>
        <w:rPr>
          <w:rFonts w:ascii="Times New Roman"/>
          <w:color w:val="231F20"/>
          <w:spacing w:val="-2"/>
        </w:rPr>
        <w:t>1985).</w:t>
      </w:r>
    </w:p>
  </w:footnote>
  <w:footnote w:id="25">
    <w:p w14:paraId="27BEDE9A" w14:textId="36912248" w:rsidR="008D604B" w:rsidRDefault="008D604B">
      <w:pPr>
        <w:pStyle w:val="FootnoteText"/>
      </w:pPr>
      <w:r>
        <w:rPr>
          <w:rStyle w:val="FootnoteReference"/>
        </w:rPr>
        <w:footnoteRef/>
      </w:r>
      <w:r>
        <w:t xml:space="preserve"> </w:t>
      </w:r>
      <w:r>
        <w:rPr>
          <w:rFonts w:ascii="Times New Roman"/>
          <w:color w:val="231F20"/>
        </w:rPr>
        <w:t>J.</w:t>
      </w:r>
      <w:r>
        <w:rPr>
          <w:rFonts w:ascii="Times New Roman"/>
          <w:color w:val="231F20"/>
          <w:spacing w:val="25"/>
        </w:rPr>
        <w:t xml:space="preserve"> </w:t>
      </w:r>
      <w:r>
        <w:rPr>
          <w:rFonts w:ascii="Times New Roman"/>
          <w:color w:val="231F20"/>
        </w:rPr>
        <w:t>Cole,</w:t>
      </w:r>
      <w:r>
        <w:rPr>
          <w:rFonts w:ascii="Times New Roman"/>
          <w:color w:val="231F20"/>
          <w:spacing w:val="24"/>
        </w:rPr>
        <w:t xml:space="preserve"> </w:t>
      </w:r>
      <w:r>
        <w:rPr>
          <w:rFonts w:ascii="Times New Roman"/>
          <w:color w:val="231F20"/>
        </w:rPr>
        <w:t>ed.,</w:t>
      </w:r>
      <w:r>
        <w:rPr>
          <w:rFonts w:ascii="Times New Roman"/>
          <w:color w:val="231F20"/>
          <w:spacing w:val="25"/>
        </w:rPr>
        <w:t xml:space="preserve"> </w:t>
      </w:r>
      <w:r>
        <w:rPr>
          <w:rFonts w:ascii="Times New Roman"/>
          <w:i/>
          <w:color w:val="231F20"/>
        </w:rPr>
        <w:t>Psychopharmacology</w:t>
      </w:r>
      <w:r>
        <w:rPr>
          <w:rFonts w:ascii="Times New Roman"/>
          <w:i/>
          <w:color w:val="231F20"/>
          <w:spacing w:val="19"/>
        </w:rPr>
        <w:t xml:space="preserve"> </w:t>
      </w:r>
      <w:r>
        <w:rPr>
          <w:rFonts w:ascii="Times New Roman"/>
          <w:color w:val="231F20"/>
        </w:rPr>
        <w:t>(Washington,</w:t>
      </w:r>
      <w:r>
        <w:rPr>
          <w:rFonts w:ascii="Times New Roman"/>
          <w:color w:val="231F20"/>
          <w:spacing w:val="25"/>
        </w:rPr>
        <w:t xml:space="preserve"> </w:t>
      </w:r>
      <w:r>
        <w:rPr>
          <w:rFonts w:ascii="Times New Roman"/>
          <w:color w:val="231F20"/>
        </w:rPr>
        <w:t>DC:</w:t>
      </w:r>
      <w:r>
        <w:rPr>
          <w:rFonts w:ascii="Times New Roman"/>
          <w:color w:val="231F20"/>
          <w:spacing w:val="24"/>
        </w:rPr>
        <w:t xml:space="preserve"> </w:t>
      </w:r>
      <w:r>
        <w:rPr>
          <w:rFonts w:ascii="Times New Roman"/>
          <w:color w:val="231F20"/>
        </w:rPr>
        <w:t>National</w:t>
      </w:r>
      <w:r>
        <w:rPr>
          <w:rFonts w:ascii="Times New Roman"/>
          <w:color w:val="231F20"/>
          <w:spacing w:val="11"/>
        </w:rPr>
        <w:t xml:space="preserve"> </w:t>
      </w:r>
      <w:r>
        <w:rPr>
          <w:rFonts w:ascii="Times New Roman"/>
          <w:color w:val="231F20"/>
        </w:rPr>
        <w:t>Academy</w:t>
      </w:r>
      <w:r>
        <w:rPr>
          <w:rFonts w:ascii="Times New Roman"/>
          <w:color w:val="231F20"/>
          <w:spacing w:val="24"/>
        </w:rPr>
        <w:t xml:space="preserve"> </w:t>
      </w:r>
      <w:r>
        <w:rPr>
          <w:rFonts w:ascii="Times New Roman"/>
          <w:color w:val="231F20"/>
        </w:rPr>
        <w:t>of</w:t>
      </w:r>
      <w:r>
        <w:rPr>
          <w:rFonts w:ascii="Times New Roman"/>
          <w:color w:val="231F20"/>
          <w:spacing w:val="25"/>
        </w:rPr>
        <w:t xml:space="preserve"> </w:t>
      </w:r>
      <w:r>
        <w:rPr>
          <w:rFonts w:ascii="Times New Roman"/>
          <w:color w:val="231F20"/>
        </w:rPr>
        <w:t>Sciences,</w:t>
      </w:r>
      <w:r>
        <w:rPr>
          <w:rFonts w:ascii="Times New Roman"/>
          <w:color w:val="231F20"/>
          <w:spacing w:val="25"/>
        </w:rPr>
        <w:t xml:space="preserve"> </w:t>
      </w:r>
      <w:r>
        <w:rPr>
          <w:rFonts w:ascii="Times New Roman"/>
          <w:color w:val="231F20"/>
          <w:spacing w:val="-2"/>
        </w:rPr>
        <w:t>1959).</w:t>
      </w:r>
    </w:p>
  </w:footnote>
  <w:footnote w:id="26">
    <w:p w14:paraId="04BD3171" w14:textId="63DDFE5E" w:rsidR="008D604B" w:rsidRDefault="008D604B">
      <w:pPr>
        <w:pStyle w:val="FootnoteText"/>
      </w:pPr>
      <w:r>
        <w:rPr>
          <w:rStyle w:val="FootnoteReference"/>
        </w:rPr>
        <w:footnoteRef/>
      </w:r>
      <w:r>
        <w:t xml:space="preserve"> </w:t>
      </w:r>
      <w:r w:rsidRPr="008D604B">
        <w:t xml:space="preserve">Cole, ibid. O. Odegard, “Pattern of Discharge from Norwegian Psychiatric Hospitals Before and After the Introduction of the Psychotropic Drugs,” </w:t>
      </w:r>
      <w:r w:rsidRPr="008D604B">
        <w:rPr>
          <w:i/>
        </w:rPr>
        <w:t xml:space="preserve">AJP </w:t>
      </w:r>
      <w:r w:rsidRPr="008D604B">
        <w:t xml:space="preserve">120 (1964): 772–778. 10.1176/ajp.120.8.772. J. Bockoven, “Comparison of Two Five-Year Follow-up Studies: 1948 to 1952 and 1967 to 1972,” </w:t>
      </w:r>
      <w:r w:rsidRPr="008D604B">
        <w:rPr>
          <w:i/>
        </w:rPr>
        <w:t xml:space="preserve">AJP </w:t>
      </w:r>
      <w:r w:rsidRPr="008D604B">
        <w:t>132 (1975): 796–801. 10.1176/ajp.132.8.796.</w:t>
      </w:r>
    </w:p>
  </w:footnote>
  <w:footnote w:id="27">
    <w:p w14:paraId="5D59A1B5" w14:textId="1AEB7D78" w:rsidR="008D604B" w:rsidRDefault="008D604B">
      <w:pPr>
        <w:pStyle w:val="FootnoteText"/>
      </w:pPr>
      <w:r>
        <w:rPr>
          <w:rStyle w:val="FootnoteReference"/>
        </w:rPr>
        <w:footnoteRef/>
      </w:r>
      <w:r>
        <w:t xml:space="preserve"> </w:t>
      </w:r>
      <w:r w:rsidRPr="008D604B">
        <w:t xml:space="preserve">Leon J. Epstein, Richard D. Morgan, and Lynn Reynolds, “An Approach to the Effect of Ataraxic Drugs on Hospital Release Rates,” </w:t>
      </w:r>
      <w:r w:rsidRPr="008D604B">
        <w:rPr>
          <w:i/>
        </w:rPr>
        <w:t xml:space="preserve">AJP </w:t>
      </w:r>
      <w:r w:rsidRPr="008D604B">
        <w:t>119 (1962): 36–47. 10.1176/ajp.119.1.36.</w:t>
      </w:r>
    </w:p>
  </w:footnote>
  <w:footnote w:id="28">
    <w:p w14:paraId="61D822C9" w14:textId="5ED63ABE" w:rsidR="00521B4B" w:rsidRDefault="00521B4B">
      <w:pPr>
        <w:pStyle w:val="FootnoteText"/>
      </w:pPr>
      <w:r>
        <w:rPr>
          <w:rStyle w:val="FootnoteReference"/>
        </w:rPr>
        <w:footnoteRef/>
      </w:r>
      <w:r>
        <w:t xml:space="preserve"> </w:t>
      </w:r>
      <w:r>
        <w:rPr>
          <w:rFonts w:ascii="Times New Roman"/>
          <w:color w:val="231F20"/>
        </w:rPr>
        <w:t>Whitaker,</w:t>
      </w:r>
      <w:r>
        <w:rPr>
          <w:rFonts w:ascii="Times New Roman"/>
          <w:color w:val="231F20"/>
          <w:spacing w:val="20"/>
        </w:rPr>
        <w:t xml:space="preserve"> </w:t>
      </w:r>
      <w:r>
        <w:rPr>
          <w:rFonts w:ascii="Times New Roman"/>
          <w:i/>
          <w:color w:val="231F20"/>
        </w:rPr>
        <w:t>Mad</w:t>
      </w:r>
      <w:r>
        <w:rPr>
          <w:rFonts w:ascii="Times New Roman"/>
          <w:i/>
          <w:color w:val="231F20"/>
          <w:spacing w:val="11"/>
        </w:rPr>
        <w:t xml:space="preserve"> </w:t>
      </w:r>
      <w:r>
        <w:rPr>
          <w:rFonts w:ascii="Times New Roman"/>
          <w:i/>
          <w:color w:val="231F20"/>
        </w:rPr>
        <w:t>in</w:t>
      </w:r>
      <w:r>
        <w:rPr>
          <w:rFonts w:ascii="Times New Roman"/>
          <w:i/>
          <w:color w:val="231F20"/>
          <w:spacing w:val="7"/>
        </w:rPr>
        <w:t xml:space="preserve"> </w:t>
      </w:r>
      <w:r>
        <w:rPr>
          <w:rFonts w:ascii="Times New Roman"/>
          <w:i/>
          <w:color w:val="231F20"/>
          <w:spacing w:val="-2"/>
        </w:rPr>
        <w:t>America.</w:t>
      </w:r>
    </w:p>
  </w:footnote>
  <w:footnote w:id="29">
    <w:p w14:paraId="604674D2" w14:textId="49A3E568" w:rsidR="00521B4B" w:rsidRPr="00521B4B" w:rsidRDefault="00521B4B" w:rsidP="00521B4B">
      <w:pPr>
        <w:spacing w:before="70" w:line="249" w:lineRule="auto"/>
        <w:ind w:right="1174"/>
        <w:rPr>
          <w:rFonts w:ascii="Times New Roman" w:hAnsi="Times New Roman"/>
          <w:sz w:val="20"/>
        </w:rPr>
      </w:pPr>
      <w:r>
        <w:rPr>
          <w:rStyle w:val="FootnoteReference"/>
        </w:rPr>
        <w:footnoteRef/>
      </w:r>
      <w:r>
        <w:t xml:space="preserve"> </w:t>
      </w:r>
      <w:r>
        <w:rPr>
          <w:rFonts w:ascii="Times New Roman" w:hAnsi="Times New Roman"/>
          <w:color w:val="231F20"/>
          <w:sz w:val="20"/>
        </w:rPr>
        <w:t>T.</w:t>
      </w:r>
      <w:r>
        <w:rPr>
          <w:rFonts w:ascii="Times New Roman" w:hAnsi="Times New Roman"/>
          <w:color w:val="231F20"/>
          <w:spacing w:val="28"/>
          <w:sz w:val="20"/>
        </w:rPr>
        <w:t xml:space="preserve"> </w:t>
      </w:r>
      <w:r>
        <w:rPr>
          <w:rFonts w:ascii="Times New Roman" w:hAnsi="Times New Roman"/>
          <w:color w:val="231F20"/>
          <w:sz w:val="20"/>
        </w:rPr>
        <w:t>Insel,</w:t>
      </w:r>
      <w:r>
        <w:rPr>
          <w:rFonts w:ascii="Times New Roman" w:hAnsi="Times New Roman"/>
          <w:color w:val="231F20"/>
          <w:spacing w:val="28"/>
          <w:sz w:val="20"/>
        </w:rPr>
        <w:t xml:space="preserve"> </w:t>
      </w:r>
      <w:r>
        <w:rPr>
          <w:rFonts w:ascii="Times New Roman" w:hAnsi="Times New Roman"/>
          <w:color w:val="231F20"/>
          <w:sz w:val="20"/>
        </w:rPr>
        <w:t>“Director’s</w:t>
      </w:r>
      <w:r>
        <w:rPr>
          <w:rFonts w:ascii="Times New Roman" w:hAnsi="Times New Roman"/>
          <w:color w:val="231F20"/>
          <w:spacing w:val="26"/>
          <w:sz w:val="20"/>
        </w:rPr>
        <w:t xml:space="preserve"> </w:t>
      </w:r>
      <w:r>
        <w:rPr>
          <w:rFonts w:ascii="Times New Roman" w:hAnsi="Times New Roman"/>
          <w:color w:val="231F20"/>
          <w:sz w:val="20"/>
        </w:rPr>
        <w:t>Blog:</w:t>
      </w:r>
      <w:r>
        <w:rPr>
          <w:rFonts w:ascii="Times New Roman" w:hAnsi="Times New Roman"/>
          <w:color w:val="231F20"/>
          <w:spacing w:val="22"/>
          <w:sz w:val="20"/>
        </w:rPr>
        <w:t xml:space="preserve"> </w:t>
      </w:r>
      <w:r>
        <w:rPr>
          <w:rFonts w:ascii="Times New Roman" w:hAnsi="Times New Roman"/>
          <w:color w:val="231F20"/>
          <w:sz w:val="20"/>
        </w:rPr>
        <w:t>Transforming</w:t>
      </w:r>
      <w:r>
        <w:rPr>
          <w:rFonts w:ascii="Times New Roman" w:hAnsi="Times New Roman"/>
          <w:color w:val="231F20"/>
          <w:spacing w:val="28"/>
          <w:sz w:val="20"/>
        </w:rPr>
        <w:t xml:space="preserve"> </w:t>
      </w:r>
      <w:r>
        <w:rPr>
          <w:rFonts w:ascii="Times New Roman" w:hAnsi="Times New Roman"/>
          <w:color w:val="231F20"/>
          <w:sz w:val="20"/>
        </w:rPr>
        <w:t>Diagnosis,”</w:t>
      </w:r>
      <w:r>
        <w:rPr>
          <w:rFonts w:ascii="Times New Roman" w:hAnsi="Times New Roman"/>
          <w:color w:val="231F20"/>
          <w:spacing w:val="28"/>
          <w:sz w:val="20"/>
        </w:rPr>
        <w:t xml:space="preserve"> </w:t>
      </w:r>
      <w:r>
        <w:rPr>
          <w:rFonts w:ascii="Times New Roman" w:hAnsi="Times New Roman"/>
          <w:color w:val="231F20"/>
          <w:sz w:val="20"/>
        </w:rPr>
        <w:t>National</w:t>
      </w:r>
      <w:r>
        <w:rPr>
          <w:rFonts w:ascii="Times New Roman" w:hAnsi="Times New Roman"/>
          <w:color w:val="231F20"/>
          <w:spacing w:val="28"/>
          <w:sz w:val="20"/>
        </w:rPr>
        <w:t xml:space="preserve"> </w:t>
      </w:r>
      <w:r>
        <w:rPr>
          <w:rFonts w:ascii="Times New Roman" w:hAnsi="Times New Roman"/>
          <w:color w:val="231F20"/>
          <w:sz w:val="20"/>
        </w:rPr>
        <w:t>Institute</w:t>
      </w:r>
      <w:r>
        <w:rPr>
          <w:rFonts w:ascii="Times New Roman" w:hAnsi="Times New Roman"/>
          <w:color w:val="231F20"/>
          <w:spacing w:val="28"/>
          <w:sz w:val="20"/>
        </w:rPr>
        <w:t xml:space="preserve"> </w:t>
      </w:r>
      <w:r>
        <w:rPr>
          <w:rFonts w:ascii="Times New Roman" w:hAnsi="Times New Roman"/>
          <w:color w:val="231F20"/>
          <w:sz w:val="20"/>
        </w:rPr>
        <w:t>of</w:t>
      </w:r>
      <w:r>
        <w:rPr>
          <w:rFonts w:ascii="Times New Roman" w:hAnsi="Times New Roman"/>
          <w:color w:val="231F20"/>
          <w:spacing w:val="28"/>
          <w:sz w:val="20"/>
        </w:rPr>
        <w:t xml:space="preserve"> </w:t>
      </w:r>
      <w:r>
        <w:rPr>
          <w:rFonts w:ascii="Times New Roman" w:hAnsi="Times New Roman"/>
          <w:color w:val="231F20"/>
          <w:sz w:val="20"/>
        </w:rPr>
        <w:t>Mental</w:t>
      </w:r>
      <w:r>
        <w:rPr>
          <w:rFonts w:ascii="Times New Roman" w:hAnsi="Times New Roman"/>
          <w:color w:val="231F20"/>
          <w:spacing w:val="28"/>
          <w:sz w:val="20"/>
        </w:rPr>
        <w:t xml:space="preserve"> </w:t>
      </w:r>
      <w:r>
        <w:rPr>
          <w:rFonts w:ascii="Times New Roman" w:hAnsi="Times New Roman"/>
          <w:color w:val="231F20"/>
          <w:sz w:val="20"/>
        </w:rPr>
        <w:t>Health. April</w:t>
      </w:r>
      <w:r>
        <w:rPr>
          <w:rFonts w:ascii="Times New Roman" w:hAnsi="Times New Roman"/>
          <w:color w:val="231F20"/>
          <w:spacing w:val="28"/>
          <w:sz w:val="20"/>
        </w:rPr>
        <w:t xml:space="preserve"> </w:t>
      </w:r>
      <w:r>
        <w:rPr>
          <w:rFonts w:ascii="Times New Roman" w:hAnsi="Times New Roman"/>
          <w:color w:val="231F20"/>
          <w:sz w:val="20"/>
        </w:rPr>
        <w:t>29,</w:t>
      </w:r>
      <w:r>
        <w:rPr>
          <w:rFonts w:ascii="Times New Roman" w:hAnsi="Times New Roman"/>
          <w:color w:val="231F20"/>
          <w:spacing w:val="28"/>
          <w:sz w:val="20"/>
        </w:rPr>
        <w:t xml:space="preserve"> </w:t>
      </w:r>
      <w:r>
        <w:rPr>
          <w:rFonts w:ascii="Times New Roman" w:hAnsi="Times New Roman"/>
          <w:color w:val="231F20"/>
          <w:sz w:val="20"/>
        </w:rPr>
        <w:t>2013.</w:t>
      </w:r>
      <w:r>
        <w:rPr>
          <w:rFonts w:ascii="Times New Roman" w:hAnsi="Times New Roman"/>
          <w:color w:val="231F20"/>
          <w:spacing w:val="28"/>
          <w:sz w:val="20"/>
        </w:rPr>
        <w:t xml:space="preserve"> </w:t>
      </w:r>
      <w:r>
        <w:rPr>
          <w:rFonts w:ascii="Times New Roman" w:hAnsi="Times New Roman"/>
          <w:color w:val="231F20"/>
          <w:sz w:val="20"/>
        </w:rPr>
        <w:t xml:space="preserve">nimh. </w:t>
      </w:r>
      <w:r>
        <w:rPr>
          <w:rFonts w:ascii="Times New Roman" w:hAnsi="Times New Roman"/>
          <w:color w:val="231F20"/>
          <w:spacing w:val="-2"/>
          <w:sz w:val="20"/>
        </w:rPr>
        <w:t>nih.gov.</w:t>
      </w:r>
    </w:p>
  </w:footnote>
  <w:footnote w:id="30">
    <w:p w14:paraId="10DC05E4" w14:textId="3A963BCD" w:rsidR="00521B4B" w:rsidRDefault="00521B4B">
      <w:pPr>
        <w:pStyle w:val="FootnoteText"/>
      </w:pPr>
      <w:r>
        <w:rPr>
          <w:rStyle w:val="FootnoteReference"/>
        </w:rPr>
        <w:footnoteRef/>
      </w:r>
      <w:r>
        <w:t xml:space="preserve"> </w:t>
      </w:r>
      <w:r w:rsidRPr="00521B4B">
        <w:t>N. C. Andreasen, “DSM and the Death of Phenomenology in America: An Example of Unintended Consequences,”</w:t>
      </w:r>
      <w:r>
        <w:t xml:space="preserve"> </w:t>
      </w:r>
      <w:r w:rsidRPr="00521B4B">
        <w:rPr>
          <w:i/>
        </w:rPr>
        <w:t xml:space="preserve">Schizophrenia Bulletin </w:t>
      </w:r>
      <w:r w:rsidRPr="00521B4B">
        <w:t>33 (2006): 108–112. 10.1093/schbul/sbl054.</w:t>
      </w:r>
    </w:p>
  </w:footnote>
  <w:footnote w:id="31">
    <w:p w14:paraId="2C03E8BF" w14:textId="77777777" w:rsidR="00521B4B" w:rsidRPr="00521B4B" w:rsidRDefault="00521B4B" w:rsidP="00521B4B">
      <w:pPr>
        <w:pStyle w:val="FootnoteText"/>
      </w:pPr>
      <w:r>
        <w:rPr>
          <w:rStyle w:val="FootnoteReference"/>
        </w:rPr>
        <w:footnoteRef/>
      </w:r>
      <w:r>
        <w:t xml:space="preserve"> </w:t>
      </w:r>
      <w:r w:rsidRPr="00521B4B">
        <w:t xml:space="preserve">James Phillips, Allen Frances, Michael A Cerullo, John Chardavoyne, Hannah S Decker, Michael B First, Nassir Ghaemi, Gary Greenberg, Andrew C Hinderliter, and Warren A Kinghorn, “The Six Most Essential Questions in Psychiatric Diagnosis: A Pluralogue Part 1: Conceptual and Definitional Issues in Psychiatric Diagnosis,” </w:t>
      </w:r>
      <w:r w:rsidRPr="00521B4B">
        <w:rPr>
          <w:i/>
        </w:rPr>
        <w:t xml:space="preserve">Philos Ethics Humanit Med </w:t>
      </w:r>
      <w:r w:rsidRPr="00521B4B">
        <w:t>7 (2012): 3. 10.1186/1747-5341-7-3.</w:t>
      </w:r>
    </w:p>
    <w:p w14:paraId="7385DECF" w14:textId="2D04C4D3" w:rsidR="00521B4B" w:rsidRDefault="00521B4B">
      <w:pPr>
        <w:pStyle w:val="FootnoteText"/>
      </w:pPr>
    </w:p>
  </w:footnote>
  <w:footnote w:id="32">
    <w:p w14:paraId="6311E390" w14:textId="39B09291" w:rsidR="00521B4B" w:rsidRDefault="00521B4B">
      <w:pPr>
        <w:pStyle w:val="FootnoteText"/>
      </w:pPr>
      <w:r>
        <w:rPr>
          <w:rStyle w:val="FootnoteReference"/>
        </w:rPr>
        <w:footnoteRef/>
      </w:r>
      <w:r>
        <w:t xml:space="preserve"> </w:t>
      </w:r>
      <w:r>
        <w:rPr>
          <w:rFonts w:ascii="Times New Roman" w:hAnsi="Times New Roman"/>
          <w:color w:val="231F20"/>
        </w:rPr>
        <w:t>Phillips,</w:t>
      </w:r>
      <w:r>
        <w:rPr>
          <w:rFonts w:ascii="Times New Roman" w:hAnsi="Times New Roman"/>
          <w:color w:val="231F20"/>
          <w:spacing w:val="31"/>
        </w:rPr>
        <w:t xml:space="preserve"> </w:t>
      </w:r>
      <w:r>
        <w:rPr>
          <w:rFonts w:ascii="Times New Roman" w:hAnsi="Times New Roman"/>
          <w:color w:val="231F20"/>
        </w:rPr>
        <w:t>Frances,</w:t>
      </w:r>
      <w:r>
        <w:rPr>
          <w:rFonts w:ascii="Times New Roman" w:hAnsi="Times New Roman"/>
          <w:color w:val="231F20"/>
          <w:spacing w:val="31"/>
        </w:rPr>
        <w:t xml:space="preserve"> </w:t>
      </w:r>
      <w:r>
        <w:rPr>
          <w:rFonts w:ascii="Times New Roman" w:hAnsi="Times New Roman"/>
          <w:color w:val="231F20"/>
        </w:rPr>
        <w:t>Cerullo,</w:t>
      </w:r>
      <w:r>
        <w:rPr>
          <w:rFonts w:ascii="Times New Roman" w:hAnsi="Times New Roman"/>
          <w:color w:val="231F20"/>
          <w:spacing w:val="31"/>
        </w:rPr>
        <w:t xml:space="preserve"> </w:t>
      </w:r>
      <w:r>
        <w:rPr>
          <w:rFonts w:ascii="Times New Roman" w:hAnsi="Times New Roman"/>
          <w:color w:val="231F20"/>
        </w:rPr>
        <w:t>Chardavoyne,</w:t>
      </w:r>
      <w:r>
        <w:rPr>
          <w:rFonts w:ascii="Times New Roman" w:hAnsi="Times New Roman"/>
          <w:color w:val="231F20"/>
          <w:spacing w:val="31"/>
        </w:rPr>
        <w:t xml:space="preserve"> </w:t>
      </w:r>
      <w:r>
        <w:rPr>
          <w:rFonts w:ascii="Times New Roman" w:hAnsi="Times New Roman"/>
          <w:color w:val="231F20"/>
        </w:rPr>
        <w:t>Decker,</w:t>
      </w:r>
      <w:r>
        <w:rPr>
          <w:rFonts w:ascii="Times New Roman" w:hAnsi="Times New Roman"/>
          <w:color w:val="231F20"/>
          <w:spacing w:val="31"/>
        </w:rPr>
        <w:t xml:space="preserve"> </w:t>
      </w:r>
      <w:r>
        <w:rPr>
          <w:rFonts w:ascii="Times New Roman" w:hAnsi="Times New Roman"/>
          <w:color w:val="231F20"/>
        </w:rPr>
        <w:t>First,</w:t>
      </w:r>
      <w:r>
        <w:rPr>
          <w:rFonts w:ascii="Times New Roman" w:hAnsi="Times New Roman"/>
          <w:color w:val="231F20"/>
          <w:spacing w:val="31"/>
        </w:rPr>
        <w:t xml:space="preserve"> </w:t>
      </w:r>
      <w:r>
        <w:rPr>
          <w:rFonts w:ascii="Times New Roman" w:hAnsi="Times New Roman"/>
          <w:color w:val="231F20"/>
        </w:rPr>
        <w:t>Ghaemi,</w:t>
      </w:r>
      <w:r>
        <w:rPr>
          <w:rFonts w:ascii="Times New Roman" w:hAnsi="Times New Roman"/>
          <w:color w:val="231F20"/>
          <w:spacing w:val="31"/>
        </w:rPr>
        <w:t xml:space="preserve"> </w:t>
      </w:r>
      <w:r>
        <w:rPr>
          <w:rFonts w:ascii="Times New Roman" w:hAnsi="Times New Roman"/>
          <w:color w:val="231F20"/>
        </w:rPr>
        <w:t>Greenberg,</w:t>
      </w:r>
      <w:r>
        <w:rPr>
          <w:rFonts w:ascii="Times New Roman" w:hAnsi="Times New Roman"/>
          <w:color w:val="231F20"/>
          <w:spacing w:val="31"/>
        </w:rPr>
        <w:t xml:space="preserve"> </w:t>
      </w:r>
      <w:r>
        <w:rPr>
          <w:rFonts w:ascii="Times New Roman" w:hAnsi="Times New Roman"/>
          <w:color w:val="231F20"/>
        </w:rPr>
        <w:t>Hinderliter,</w:t>
      </w:r>
      <w:r>
        <w:rPr>
          <w:rFonts w:ascii="Times New Roman" w:hAnsi="Times New Roman"/>
          <w:color w:val="231F20"/>
          <w:spacing w:val="31"/>
        </w:rPr>
        <w:t xml:space="preserve"> </w:t>
      </w:r>
      <w:r>
        <w:rPr>
          <w:rFonts w:ascii="Times New Roman" w:hAnsi="Times New Roman"/>
          <w:color w:val="231F20"/>
        </w:rPr>
        <w:t>and</w:t>
      </w:r>
      <w:r>
        <w:rPr>
          <w:rFonts w:ascii="Times New Roman" w:hAnsi="Times New Roman"/>
          <w:color w:val="231F20"/>
          <w:spacing w:val="31"/>
        </w:rPr>
        <w:t xml:space="preserve"> </w:t>
      </w:r>
      <w:r>
        <w:rPr>
          <w:rFonts w:ascii="Times New Roman" w:hAnsi="Times New Roman"/>
          <w:color w:val="231F20"/>
        </w:rPr>
        <w:t>Kinghorn,</w:t>
      </w:r>
      <w:r>
        <w:rPr>
          <w:rFonts w:ascii="Times New Roman" w:hAnsi="Times New Roman"/>
          <w:color w:val="231F20"/>
          <w:spacing w:val="31"/>
        </w:rPr>
        <w:t xml:space="preserve"> </w:t>
      </w:r>
      <w:r>
        <w:rPr>
          <w:rFonts w:ascii="Times New Roman" w:hAnsi="Times New Roman"/>
          <w:color w:val="231F20"/>
        </w:rPr>
        <w:t>“The</w:t>
      </w:r>
      <w:r>
        <w:rPr>
          <w:rFonts w:ascii="Times New Roman" w:hAnsi="Times New Roman"/>
          <w:color w:val="231F20"/>
          <w:spacing w:val="31"/>
        </w:rPr>
        <w:t xml:space="preserve"> </w:t>
      </w:r>
      <w:r>
        <w:rPr>
          <w:rFonts w:ascii="Times New Roman" w:hAnsi="Times New Roman"/>
          <w:color w:val="231F20"/>
        </w:rPr>
        <w:t>Six Most</w:t>
      </w:r>
      <w:r>
        <w:rPr>
          <w:rFonts w:ascii="Times New Roman" w:hAnsi="Times New Roman"/>
          <w:color w:val="231F20"/>
          <w:spacing w:val="40"/>
        </w:rPr>
        <w:t xml:space="preserve"> </w:t>
      </w:r>
      <w:r>
        <w:rPr>
          <w:rFonts w:ascii="Times New Roman" w:hAnsi="Times New Roman"/>
          <w:color w:val="231F20"/>
        </w:rPr>
        <w:t>Essential</w:t>
      </w:r>
      <w:r>
        <w:rPr>
          <w:rFonts w:ascii="Times New Roman" w:hAnsi="Times New Roman"/>
          <w:color w:val="231F20"/>
          <w:spacing w:val="40"/>
        </w:rPr>
        <w:t xml:space="preserve"> </w:t>
      </w:r>
      <w:r>
        <w:rPr>
          <w:rFonts w:ascii="Times New Roman" w:hAnsi="Times New Roman"/>
          <w:color w:val="231F20"/>
        </w:rPr>
        <w:t>Questions</w:t>
      </w:r>
      <w:r>
        <w:rPr>
          <w:rFonts w:ascii="Times New Roman" w:hAnsi="Times New Roman"/>
          <w:color w:val="231F20"/>
          <w:spacing w:val="40"/>
        </w:rPr>
        <w:t xml:space="preserve"> </w:t>
      </w:r>
      <w:r>
        <w:rPr>
          <w:rFonts w:ascii="Times New Roman" w:hAnsi="Times New Roman"/>
          <w:color w:val="231F20"/>
        </w:rPr>
        <w:t>in</w:t>
      </w:r>
      <w:r>
        <w:rPr>
          <w:rFonts w:ascii="Times New Roman" w:hAnsi="Times New Roman"/>
          <w:color w:val="231F20"/>
          <w:spacing w:val="40"/>
        </w:rPr>
        <w:t xml:space="preserve"> </w:t>
      </w:r>
      <w:r>
        <w:rPr>
          <w:rFonts w:ascii="Times New Roman" w:hAnsi="Times New Roman"/>
          <w:color w:val="231F20"/>
        </w:rPr>
        <w:t>Psychiatric</w:t>
      </w:r>
      <w:r>
        <w:rPr>
          <w:rFonts w:ascii="Times New Roman" w:hAnsi="Times New Roman"/>
          <w:color w:val="231F20"/>
          <w:spacing w:val="40"/>
        </w:rPr>
        <w:t xml:space="preserve"> </w:t>
      </w:r>
      <w:r>
        <w:rPr>
          <w:rFonts w:ascii="Times New Roman" w:hAnsi="Times New Roman"/>
          <w:color w:val="231F20"/>
        </w:rPr>
        <w:t>Diagnosis,”</w:t>
      </w:r>
      <w:r>
        <w:rPr>
          <w:rFonts w:ascii="Times New Roman" w:hAnsi="Times New Roman"/>
          <w:color w:val="231F20"/>
          <w:spacing w:val="40"/>
        </w:rPr>
        <w:t xml:space="preserve"> </w:t>
      </w:r>
      <w:r>
        <w:rPr>
          <w:rFonts w:ascii="Times New Roman" w:hAnsi="Times New Roman"/>
          <w:color w:val="231F20"/>
        </w:rPr>
        <w:t>8.</w:t>
      </w:r>
    </w:p>
  </w:footnote>
  <w:footnote w:id="33">
    <w:p w14:paraId="7645857E" w14:textId="508F6EA7" w:rsidR="0032631D" w:rsidRPr="00E01A75" w:rsidRDefault="0032631D">
      <w:pPr>
        <w:pStyle w:val="FootnoteText"/>
        <w:rPr>
          <w:i/>
        </w:rPr>
      </w:pPr>
      <w:r>
        <w:rPr>
          <w:rStyle w:val="FootnoteReference"/>
        </w:rPr>
        <w:footnoteRef/>
      </w:r>
      <w:r>
        <w:t xml:space="preserve"> </w:t>
      </w:r>
      <w:r w:rsidRPr="0032631D">
        <w:t xml:space="preserve">J. Maas, “Pretreatment Neurotransmitter Metabolite Levels and Response to Tricyclic Antidepressant Drugs,” </w:t>
      </w:r>
      <w:r w:rsidRPr="0032631D">
        <w:rPr>
          <w:i/>
        </w:rPr>
        <w:t>AJP</w:t>
      </w:r>
      <w:r>
        <w:rPr>
          <w:i/>
        </w:rPr>
        <w:t xml:space="preserve"> </w:t>
      </w:r>
      <w:r w:rsidRPr="0032631D">
        <w:t>141 (1984): 1159–1171. 10.1176/ajp.141.10.1159.</w:t>
      </w:r>
    </w:p>
  </w:footnote>
  <w:footnote w:id="34">
    <w:p w14:paraId="4D97B87C" w14:textId="384CE9B2" w:rsidR="00E01A75" w:rsidRDefault="00E01A75">
      <w:pPr>
        <w:pStyle w:val="FootnoteText"/>
      </w:pPr>
      <w:r>
        <w:rPr>
          <w:rStyle w:val="FootnoteReference"/>
        </w:rPr>
        <w:footnoteRef/>
      </w:r>
      <w:r>
        <w:t xml:space="preserve"> </w:t>
      </w:r>
      <w:r w:rsidRPr="00E01A75">
        <w:t xml:space="preserve">Stephen M. Stahl, </w:t>
      </w:r>
      <w:r w:rsidRPr="00E01A75">
        <w:rPr>
          <w:i/>
        </w:rPr>
        <w:t xml:space="preserve">Essential Psychopharmacology </w:t>
      </w:r>
      <w:r w:rsidRPr="00E01A75">
        <w:t>(Cambridge University Press, 2000).</w:t>
      </w:r>
    </w:p>
  </w:footnote>
  <w:footnote w:id="35">
    <w:p w14:paraId="4B9203CC" w14:textId="2BD8383B" w:rsidR="00D62A26" w:rsidRDefault="00D62A26">
      <w:pPr>
        <w:pStyle w:val="FootnoteText"/>
      </w:pPr>
      <w:r>
        <w:rPr>
          <w:rStyle w:val="FootnoteReference"/>
        </w:rPr>
        <w:footnoteRef/>
      </w:r>
      <w:r>
        <w:t xml:space="preserve"> E</w:t>
      </w:r>
      <w:r>
        <w:rPr>
          <w:rFonts w:ascii="Times New Roman"/>
          <w:color w:val="231F20"/>
        </w:rPr>
        <w:t>ric</w:t>
      </w:r>
      <w:r>
        <w:rPr>
          <w:rFonts w:ascii="Times New Roman"/>
          <w:color w:val="231F20"/>
          <w:spacing w:val="20"/>
        </w:rPr>
        <w:t xml:space="preserve"> </w:t>
      </w:r>
      <w:r>
        <w:rPr>
          <w:rFonts w:ascii="Times New Roman"/>
          <w:color w:val="231F20"/>
        </w:rPr>
        <w:t>J.</w:t>
      </w:r>
      <w:r>
        <w:rPr>
          <w:rFonts w:ascii="Times New Roman"/>
          <w:color w:val="231F20"/>
          <w:spacing w:val="21"/>
        </w:rPr>
        <w:t xml:space="preserve"> </w:t>
      </w:r>
      <w:r>
        <w:rPr>
          <w:rFonts w:ascii="Times New Roman"/>
          <w:color w:val="231F20"/>
        </w:rPr>
        <w:t>Nestler</w:t>
      </w:r>
      <w:r>
        <w:rPr>
          <w:rFonts w:ascii="Times New Roman"/>
          <w:color w:val="231F20"/>
          <w:spacing w:val="21"/>
        </w:rPr>
        <w:t xml:space="preserve"> </w:t>
      </w:r>
      <w:r>
        <w:rPr>
          <w:rFonts w:ascii="Times New Roman"/>
          <w:color w:val="231F20"/>
        </w:rPr>
        <w:t>and</w:t>
      </w:r>
      <w:r>
        <w:rPr>
          <w:rFonts w:ascii="Times New Roman"/>
          <w:color w:val="231F20"/>
          <w:spacing w:val="20"/>
        </w:rPr>
        <w:t xml:space="preserve"> </w:t>
      </w:r>
      <w:r>
        <w:rPr>
          <w:rFonts w:ascii="Times New Roman"/>
          <w:color w:val="231F20"/>
        </w:rPr>
        <w:t>Steven</w:t>
      </w:r>
      <w:r>
        <w:rPr>
          <w:rFonts w:ascii="Times New Roman"/>
          <w:color w:val="231F20"/>
          <w:spacing w:val="21"/>
        </w:rPr>
        <w:t xml:space="preserve"> </w:t>
      </w:r>
      <w:r>
        <w:rPr>
          <w:rFonts w:ascii="Times New Roman"/>
          <w:color w:val="231F20"/>
        </w:rPr>
        <w:t>Hyman,</w:t>
      </w:r>
      <w:r>
        <w:rPr>
          <w:rFonts w:ascii="Times New Roman"/>
          <w:color w:val="231F20"/>
          <w:spacing w:val="21"/>
        </w:rPr>
        <w:t xml:space="preserve"> </w:t>
      </w:r>
      <w:r>
        <w:rPr>
          <w:rFonts w:ascii="Times New Roman"/>
          <w:i/>
          <w:color w:val="231F20"/>
        </w:rPr>
        <w:t>Molecular</w:t>
      </w:r>
      <w:r>
        <w:rPr>
          <w:rFonts w:ascii="Times New Roman"/>
          <w:i/>
          <w:color w:val="231F20"/>
          <w:spacing w:val="9"/>
        </w:rPr>
        <w:t xml:space="preserve"> </w:t>
      </w:r>
      <w:r>
        <w:rPr>
          <w:rFonts w:ascii="Times New Roman"/>
          <w:i/>
          <w:color w:val="231F20"/>
        </w:rPr>
        <w:t>Basis</w:t>
      </w:r>
      <w:r>
        <w:rPr>
          <w:rFonts w:ascii="Times New Roman"/>
          <w:i/>
          <w:color w:val="231F20"/>
          <w:spacing w:val="10"/>
        </w:rPr>
        <w:t xml:space="preserve"> </w:t>
      </w:r>
      <w:r>
        <w:rPr>
          <w:rFonts w:ascii="Times New Roman"/>
          <w:i/>
          <w:color w:val="231F20"/>
        </w:rPr>
        <w:t>of</w:t>
      </w:r>
      <w:r>
        <w:rPr>
          <w:rFonts w:ascii="Times New Roman"/>
          <w:i/>
          <w:color w:val="231F20"/>
          <w:spacing w:val="11"/>
        </w:rPr>
        <w:t xml:space="preserve"> </w:t>
      </w:r>
      <w:r>
        <w:rPr>
          <w:rFonts w:ascii="Times New Roman"/>
          <w:i/>
          <w:color w:val="231F20"/>
        </w:rPr>
        <w:t>Neuropharmacology</w:t>
      </w:r>
      <w:r>
        <w:rPr>
          <w:rFonts w:ascii="Times New Roman"/>
          <w:i/>
          <w:color w:val="231F20"/>
          <w:spacing w:val="11"/>
        </w:rPr>
        <w:t xml:space="preserve"> </w:t>
      </w:r>
      <w:r>
        <w:rPr>
          <w:rFonts w:ascii="Times New Roman"/>
          <w:color w:val="231F20"/>
        </w:rPr>
        <w:t>(McGraw</w:t>
      </w:r>
      <w:r>
        <w:rPr>
          <w:rFonts w:ascii="Times New Roman"/>
          <w:color w:val="231F20"/>
          <w:spacing w:val="19"/>
        </w:rPr>
        <w:t xml:space="preserve"> </w:t>
      </w:r>
      <w:r>
        <w:rPr>
          <w:rFonts w:ascii="Times New Roman"/>
          <w:color w:val="231F20"/>
        </w:rPr>
        <w:t>Hill</w:t>
      </w:r>
      <w:r>
        <w:rPr>
          <w:rFonts w:ascii="Times New Roman"/>
          <w:color w:val="231F20"/>
          <w:spacing w:val="21"/>
        </w:rPr>
        <w:t xml:space="preserve"> </w:t>
      </w:r>
      <w:r>
        <w:rPr>
          <w:rFonts w:ascii="Times New Roman"/>
          <w:color w:val="231F20"/>
        </w:rPr>
        <w:t>Professional,</w:t>
      </w:r>
      <w:r>
        <w:rPr>
          <w:rFonts w:ascii="Times New Roman"/>
          <w:color w:val="231F20"/>
          <w:spacing w:val="21"/>
        </w:rPr>
        <w:t xml:space="preserve"> </w:t>
      </w:r>
      <w:r>
        <w:rPr>
          <w:rFonts w:ascii="Times New Roman"/>
          <w:color w:val="231F20"/>
          <w:spacing w:val="-2"/>
        </w:rPr>
        <w:t>2001).</w:t>
      </w:r>
    </w:p>
  </w:footnote>
  <w:footnote w:id="36">
    <w:p w14:paraId="04DA1376" w14:textId="5B55AF85" w:rsidR="00D62A26" w:rsidRDefault="00D62A26">
      <w:pPr>
        <w:pStyle w:val="FootnoteText"/>
      </w:pPr>
      <w:r>
        <w:rPr>
          <w:rStyle w:val="FootnoteReference"/>
        </w:rPr>
        <w:footnoteRef/>
      </w:r>
      <w:r>
        <w:t xml:space="preserve"> </w:t>
      </w:r>
      <w:r w:rsidRPr="00D62A26">
        <w:t xml:space="preserve">Jeffrey R. Lacasse and Jonathan Leo, “Serotonin and Depression: A Disconnect between the Advertisements and the Scientific Literature,” </w:t>
      </w:r>
      <w:r w:rsidRPr="00D62A26">
        <w:rPr>
          <w:i/>
        </w:rPr>
        <w:t xml:space="preserve">PLoS Med </w:t>
      </w:r>
      <w:r w:rsidRPr="00D62A26">
        <w:t>2 (2005): e392. 10.1371/journal.pmed.0020392.</w:t>
      </w:r>
    </w:p>
  </w:footnote>
  <w:footnote w:id="37">
    <w:p w14:paraId="7B6DDE12" w14:textId="77777777" w:rsidR="00D62A26" w:rsidRPr="00D62A26" w:rsidRDefault="00D62A26" w:rsidP="00D62A26">
      <w:pPr>
        <w:pStyle w:val="FootnoteText"/>
      </w:pPr>
      <w:r>
        <w:rPr>
          <w:rStyle w:val="FootnoteReference"/>
        </w:rPr>
        <w:footnoteRef/>
      </w:r>
      <w:r>
        <w:t xml:space="preserve"> </w:t>
      </w:r>
      <w:r w:rsidRPr="00D62A26">
        <w:t>Ronald Pies, “Psychiatry’s New Brain-Mind and the Legend of the Chemical Imbalance,” Psychiatric Times. July 11, 2011.</w:t>
      </w:r>
    </w:p>
    <w:p w14:paraId="6DE3C0C1" w14:textId="40ED5BD0" w:rsidR="00D62A26" w:rsidRDefault="00D62A26">
      <w:pPr>
        <w:pStyle w:val="FootnoteText"/>
      </w:pPr>
    </w:p>
  </w:footnote>
  <w:footnote w:id="38">
    <w:p w14:paraId="30FC66B2" w14:textId="2D491C37" w:rsidR="00D62A26" w:rsidRDefault="00D62A26">
      <w:pPr>
        <w:pStyle w:val="FootnoteText"/>
      </w:pPr>
      <w:r>
        <w:rPr>
          <w:rStyle w:val="FootnoteReference"/>
        </w:rPr>
        <w:footnoteRef/>
      </w:r>
      <w:r>
        <w:t xml:space="preserve"> </w:t>
      </w:r>
      <w:r w:rsidRPr="00D62A26">
        <w:t xml:space="preserve">E. Jaaskelainen, P. Juola, N. Hirvonen, J. J. McGrath, S. Saha, M. Isohanni, J. Veijola, and J. Miettunen, “A Systematic Review and Meta-Analysis of Recovery in Schizophrenia,” </w:t>
      </w:r>
      <w:r w:rsidRPr="00D62A26">
        <w:rPr>
          <w:i/>
        </w:rPr>
        <w:t xml:space="preserve">Schizophrenia Bulletin </w:t>
      </w:r>
      <w:r w:rsidRPr="00D62A26">
        <w:t>39 (2013): 1296–1306. 10.1093/schbul/sbs130.</w:t>
      </w:r>
    </w:p>
  </w:footnote>
  <w:footnote w:id="39">
    <w:p w14:paraId="516B15EE" w14:textId="39461FFE" w:rsidR="00D62A26" w:rsidRDefault="00D62A26">
      <w:pPr>
        <w:pStyle w:val="FootnoteText"/>
      </w:pPr>
      <w:r>
        <w:rPr>
          <w:rStyle w:val="FootnoteReference"/>
        </w:rPr>
        <w:footnoteRef/>
      </w:r>
      <w:r>
        <w:t xml:space="preserve"> </w:t>
      </w:r>
      <w:r w:rsidRPr="00D62A26">
        <w:t>Martin Harrow and Thomas H. Jobe, “Factors Involved in Outcome and Recovery in Schizophrenia Patients Not on Antipsychotic Medications: A 15-Year Multifollow-Up Study,” 195 (2007): 406–414. 10.1097/01. nmd.0000253783.32338.6e.</w:t>
      </w:r>
    </w:p>
  </w:footnote>
  <w:footnote w:id="40">
    <w:p w14:paraId="2EE3E71B" w14:textId="77777777" w:rsidR="00D62A26" w:rsidRPr="00D62A26" w:rsidRDefault="00D62A26" w:rsidP="00D62A26">
      <w:pPr>
        <w:pStyle w:val="FootnoteText"/>
        <w:rPr>
          <w:i/>
        </w:rPr>
      </w:pPr>
      <w:r>
        <w:rPr>
          <w:rStyle w:val="FootnoteReference"/>
        </w:rPr>
        <w:footnoteRef/>
      </w:r>
      <w:r>
        <w:t xml:space="preserve"> </w:t>
      </w:r>
      <w:r w:rsidRPr="00D62A26">
        <w:t xml:space="preserve">Whitaker, </w:t>
      </w:r>
      <w:r w:rsidRPr="00D62A26">
        <w:rPr>
          <w:i/>
        </w:rPr>
        <w:t>Anatomy of an Epidemic.</w:t>
      </w:r>
    </w:p>
    <w:p w14:paraId="0363995D" w14:textId="7825BFA3" w:rsidR="00D62A26" w:rsidRDefault="00D62A26">
      <w:pPr>
        <w:pStyle w:val="FootnoteText"/>
      </w:pPr>
    </w:p>
  </w:footnote>
  <w:footnote w:id="41">
    <w:p w14:paraId="2871AC63" w14:textId="439BACF0" w:rsidR="00D62A26" w:rsidRDefault="00D62A26">
      <w:pPr>
        <w:pStyle w:val="FootnoteText"/>
      </w:pPr>
      <w:r>
        <w:rPr>
          <w:rStyle w:val="FootnoteReference"/>
        </w:rPr>
        <w:footnoteRef/>
      </w:r>
      <w:r>
        <w:t xml:space="preserve"> </w:t>
      </w:r>
      <w:r w:rsidRPr="00D62A26">
        <w:t xml:space="preserve">Lex Wunderink, Roeline M. Nieboer, Durk Wiersma, Sjoerd Sytema, and Fokko J. Nienhuis, “Recovery in Remitted First-Episode Psychosis at 7 Years of Follow-up of an Early Dose Reduction/Discontinuation or Maintenance Treatment Strategy,” </w:t>
      </w:r>
      <w:r w:rsidRPr="00D62A26">
        <w:rPr>
          <w:i/>
        </w:rPr>
        <w:t xml:space="preserve">JAMA Psychiatry </w:t>
      </w:r>
      <w:r w:rsidRPr="00D62A26">
        <w:t>70 (2013): 913. 10.1001/jamapsychiatry.2013.19. J. Moilanen, M.</w:t>
      </w:r>
      <w:r>
        <w:t xml:space="preserve"> </w:t>
      </w:r>
      <w:r w:rsidRPr="00D62A26">
        <w:t xml:space="preserve">Haapea, J. Miettunen, E. Jääskeläinen, J. Veijola, M. Isohanni, and H. Koponen, “Characteristics of Subjects With Schizophrenia Spectrum Disorder With and Without Antipsychotic Medication – a 10-Year Follow-Up of the Northern Finland 1966 Birth Cohort Study,” </w:t>
      </w:r>
      <w:r w:rsidRPr="00D62A26">
        <w:rPr>
          <w:i/>
        </w:rPr>
        <w:t xml:space="preserve">Eur. Psychiatr. </w:t>
      </w:r>
      <w:r w:rsidRPr="00D62A26">
        <w:t>28 (2013): 53–58. 10.1016/j.eurpsy.2011.06.009. Regitze Sølling Wils, Ditte Resendal Gotfredsen, Carsten Hjorthøj, Stephen F. Austin, Nikolai Albert, Rikke Gry</w:t>
      </w:r>
      <w:r>
        <w:t xml:space="preserve"> </w:t>
      </w:r>
      <w:r w:rsidRPr="00D62A26">
        <w:t xml:space="preserve">Secher, Anne Amalie Elgaard Thorup, Ole Mors, and Merete Nordentoft, “Antipsychotic Medication and Remission of Psychotic Symptoms 10 Years after a First-Episode Psychosis,” </w:t>
      </w:r>
      <w:r w:rsidRPr="00D62A26">
        <w:rPr>
          <w:i/>
        </w:rPr>
        <w:t xml:space="preserve">Schizophrenia Research </w:t>
      </w:r>
      <w:r w:rsidRPr="00D62A26">
        <w:t>182 (2017): 42–48.</w:t>
      </w:r>
      <w:r>
        <w:t xml:space="preserve"> </w:t>
      </w:r>
      <w:r w:rsidRPr="00D62A26">
        <w:t xml:space="preserve">10.1016/j.schres.2016.10.030. E. Jung, M. Wiesjahn, H. Wendt, T. Bock, W. Rief, and T. M. Lincoln, “Symptoms, Functioning and Coping Strategies in Individuals with Schizophrenia Spectrum Disorders Who Do Not Take Antipsychotic Medication: A Comparative Interview Study,” </w:t>
      </w:r>
      <w:r w:rsidRPr="00D62A26">
        <w:rPr>
          <w:i/>
        </w:rPr>
        <w:t xml:space="preserve">Psychol. Med. </w:t>
      </w:r>
      <w:r w:rsidRPr="00D62A26">
        <w:t>46 (2016): 2179–2188. 10.1017/ s0033291716000775.</w:t>
      </w:r>
    </w:p>
  </w:footnote>
  <w:footnote w:id="42">
    <w:p w14:paraId="02FF4492" w14:textId="21813710" w:rsidR="00D10BCE" w:rsidRDefault="00D10BCE">
      <w:pPr>
        <w:pStyle w:val="FootnoteText"/>
      </w:pPr>
      <w:r>
        <w:rPr>
          <w:rStyle w:val="FootnoteReference"/>
        </w:rPr>
        <w:footnoteRef/>
      </w:r>
      <w:r>
        <w:t xml:space="preserve"> </w:t>
      </w:r>
      <w:r w:rsidRPr="00D10BCE">
        <w:t xml:space="preserve">M. Harrow and T. H. Jobe, “Does Long-Term Treatment of Schizophrenia With Antipsychotic Medications Facilitate Recovery?” </w:t>
      </w:r>
      <w:r w:rsidRPr="00D10BCE">
        <w:rPr>
          <w:i/>
        </w:rPr>
        <w:t xml:space="preserve">Schizophrenia Bulletin </w:t>
      </w:r>
      <w:r w:rsidRPr="00D10BCE">
        <w:t xml:space="preserve">39 (2013): 962–965. 10.1093/schbul/sbt034. M. Harrow, T. H. Jobe, and R. N. Faull, “Does Treatment of Schizophrenia with Antipsychotic Medications Eliminate or Reduce Psychosis? A 20-Year Multi-Follow-up Study,” </w:t>
      </w:r>
      <w:r w:rsidRPr="00D10BCE">
        <w:rPr>
          <w:i/>
        </w:rPr>
        <w:t xml:space="preserve">Psychol. Med. </w:t>
      </w:r>
      <w:r w:rsidRPr="00D10BCE">
        <w:t>44 (2014): 3007–3016. 10.1017/s003329171</w:t>
      </w:r>
    </w:p>
  </w:footnote>
  <w:footnote w:id="43">
    <w:p w14:paraId="671B92F6" w14:textId="77777777" w:rsidR="00D10BCE" w:rsidRPr="00D10BCE" w:rsidRDefault="00D10BCE" w:rsidP="00D10BCE">
      <w:pPr>
        <w:pStyle w:val="FootnoteText"/>
      </w:pPr>
      <w:r>
        <w:rPr>
          <w:rStyle w:val="FootnoteReference"/>
        </w:rPr>
        <w:footnoteRef/>
      </w:r>
      <w:r>
        <w:t xml:space="preserve"> </w:t>
      </w:r>
      <w:r w:rsidRPr="00D10BCE">
        <w:t>Beng-Choon Ho, Nancy C. Andreasen, Steven Ziebell, Ronald Pierson, and Vincent Magnotta, “Long-</w:t>
      </w:r>
    </w:p>
    <w:p w14:paraId="15FBD131" w14:textId="58A42BF4" w:rsidR="00D10BCE" w:rsidRDefault="00D10BCE">
      <w:pPr>
        <w:pStyle w:val="FootnoteText"/>
      </w:pPr>
      <w:r w:rsidRPr="00D10BCE">
        <w:t xml:space="preserve">Term Antipsychotic Treatment and Brain Volumes,” </w:t>
      </w:r>
      <w:r w:rsidRPr="00D10BCE">
        <w:rPr>
          <w:i/>
        </w:rPr>
        <w:t xml:space="preserve">Arch Gen Psychiatry </w:t>
      </w:r>
      <w:r w:rsidRPr="00D10BCE">
        <w:t xml:space="preserve">68 (2011): 128. 10.1001/ archgenpsychiatry.2010.199. Beng-Choon Ho, Nancy C. Andreasen, Peg Nopoulos, Stephan Arndt, Vincent Magnotta, and Michael Flaum, “Progressive Structural Brain Abnormalities and Their Relationship to Clinical Outcome,” </w:t>
      </w:r>
      <w:r w:rsidRPr="00D10BCE">
        <w:rPr>
          <w:i/>
        </w:rPr>
        <w:t xml:space="preserve">Arch Gen Psychiatry </w:t>
      </w:r>
      <w:r w:rsidRPr="00D10BCE">
        <w:t>60 (2003): 585. 10.1001/archpsyc.60.6.585.</w:t>
      </w:r>
    </w:p>
  </w:footnote>
  <w:footnote w:id="44">
    <w:p w14:paraId="676E2942" w14:textId="77777777" w:rsidR="00103681" w:rsidRPr="00103681" w:rsidRDefault="00103681" w:rsidP="00103681">
      <w:pPr>
        <w:pStyle w:val="FootnoteText"/>
      </w:pPr>
      <w:r>
        <w:rPr>
          <w:rStyle w:val="FootnoteReference"/>
        </w:rPr>
        <w:footnoteRef/>
      </w:r>
      <w:r>
        <w:t xml:space="preserve"> </w:t>
      </w:r>
      <w:r w:rsidRPr="00103681">
        <w:t xml:space="preserve">Giovanni A. Fava, “Do Antidepressant and Antianxiety Drugs Increase Chronicity in Affective Disorders?” </w:t>
      </w:r>
      <w:r w:rsidRPr="00103681">
        <w:rPr>
          <w:i/>
        </w:rPr>
        <w:t xml:space="preserve">Psychother Psychosom </w:t>
      </w:r>
      <w:r w:rsidRPr="00103681">
        <w:t xml:space="preserve">61 (1994): 125–131. 10.1159/000288880. Giovanni A. Fava, “Holding On: Depression, Sensitization by Antidepressant Drugs, and the Prodigal Experts,” </w:t>
      </w:r>
      <w:r w:rsidRPr="00103681">
        <w:rPr>
          <w:i/>
        </w:rPr>
        <w:t xml:space="preserve">Psychother Psychosom </w:t>
      </w:r>
      <w:r w:rsidRPr="00103681">
        <w:t>64 (1995): 57–61.</w:t>
      </w:r>
    </w:p>
    <w:p w14:paraId="71577367" w14:textId="2BCBE80C" w:rsidR="00103681" w:rsidRDefault="00103681">
      <w:pPr>
        <w:pStyle w:val="FootnoteText"/>
      </w:pPr>
      <w:r w:rsidRPr="00103681">
        <w:t>10.1159/000288992. Giovanni A. Fava, “Potential Sensitising Effects of Antidepressant Drugs on Depression,” CNS Drugs 12 (1999): 247–256. 10.2165/00023210-199912040-00001. Rif S. El-Mallakh, Yonglin Gao, Brian T.</w:t>
      </w:r>
      <w:r>
        <w:t xml:space="preserve"> </w:t>
      </w:r>
      <w:r w:rsidRPr="00103681">
        <w:t xml:space="preserve">Briscoe, and R. Jeannie Roberts, “Antidepressant-Induced Tardive Dysphoria,” </w:t>
      </w:r>
      <w:r w:rsidRPr="00103681">
        <w:rPr>
          <w:i/>
        </w:rPr>
        <w:t xml:space="preserve">Psychother Psychosom </w:t>
      </w:r>
      <w:r w:rsidRPr="00103681">
        <w:t xml:space="preserve">80 (2011): 57–59. 10.1159/000316799. Rif S. El-Mallakh, Yonglin Gao, and R. Jeannie Roberts, “Tardive Dysphoria: The Role of Long Term Antidepressant Use in-Inducing Chronic Depression,” </w:t>
      </w:r>
      <w:r w:rsidRPr="00103681">
        <w:rPr>
          <w:i/>
        </w:rPr>
        <w:t xml:space="preserve">Medical Hypotheses </w:t>
      </w:r>
      <w:r w:rsidRPr="00103681">
        <w:t xml:space="preserve">76 (2011): 769–773. 10.1016/j.mehy.2011.01.020. Rif S. El-Mallakh, Courtney Waltrip, and Christopher Peters, “Can Long-Term Antidepressant Use Be Depressogenic?” </w:t>
      </w:r>
      <w:r w:rsidRPr="00103681">
        <w:rPr>
          <w:i/>
        </w:rPr>
        <w:t xml:space="preserve">J. Clin. Psychiatry </w:t>
      </w:r>
      <w:r w:rsidRPr="00103681">
        <w:t>60 (1999): 263. 10.4088/jcp.v60n0412e.</w:t>
      </w:r>
    </w:p>
  </w:footnote>
  <w:footnote w:id="45">
    <w:p w14:paraId="263ECAFB" w14:textId="3CB84F12" w:rsidR="00103681" w:rsidRDefault="00103681">
      <w:pPr>
        <w:pStyle w:val="FootnoteText"/>
      </w:pPr>
      <w:r>
        <w:rPr>
          <w:rStyle w:val="FootnoteReference"/>
        </w:rPr>
        <w:footnoteRef/>
      </w:r>
      <w:r>
        <w:t xml:space="preserve"> </w:t>
      </w:r>
      <w:r w:rsidRPr="00103681">
        <w:t xml:space="preserve">William Coryell, “Characteristics and Significance of Untreated Major Depressive Disorder,” </w:t>
      </w:r>
      <w:r w:rsidRPr="00103681">
        <w:rPr>
          <w:i/>
        </w:rPr>
        <w:t xml:space="preserve">AJP </w:t>
      </w:r>
      <w:r w:rsidRPr="00103681">
        <w:t>152 (1995): 1124–1129. 10.1176/ajp.152.8.1124.</w:t>
      </w:r>
    </w:p>
  </w:footnote>
  <w:footnote w:id="46">
    <w:p w14:paraId="5FC166E4" w14:textId="7E0864D0" w:rsidR="00103681" w:rsidRDefault="00103681">
      <w:pPr>
        <w:pStyle w:val="FootnoteText"/>
      </w:pPr>
      <w:r>
        <w:rPr>
          <w:rStyle w:val="FootnoteReference"/>
        </w:rPr>
        <w:footnoteRef/>
      </w:r>
      <w:r>
        <w:t xml:space="preserve"> </w:t>
      </w:r>
      <w:r w:rsidRPr="00103681">
        <w:t>D Goldberg, M Privett, B Ustun, G Simon, and M Linden, “The Effects of Detection and Treatment on the Outcome of Major Depression in Primary Care,” 48 (1998).</w:t>
      </w:r>
    </w:p>
  </w:footnote>
  <w:footnote w:id="47">
    <w:p w14:paraId="74E5E640" w14:textId="348AEB62" w:rsidR="00103681" w:rsidRDefault="00103681">
      <w:pPr>
        <w:pStyle w:val="FootnoteText"/>
      </w:pPr>
      <w:r>
        <w:rPr>
          <w:rStyle w:val="FootnoteReference"/>
        </w:rPr>
        <w:footnoteRef/>
      </w:r>
      <w:r>
        <w:t xml:space="preserve"> </w:t>
      </w:r>
      <w:r w:rsidRPr="00103681">
        <w:t xml:space="preserve">Scott B.Patten, “The Impact of Antidepressant Treatment on Population Health: Synthesis of Data from Two National Data Sources in Canada,” </w:t>
      </w:r>
      <w:r w:rsidRPr="00103681">
        <w:rPr>
          <w:i/>
        </w:rPr>
        <w:t xml:space="preserve">Popul Health Metrics </w:t>
      </w:r>
      <w:r w:rsidRPr="00103681">
        <w:t>2 (2004). 10.1186/1478-7954-2-9.</w:t>
      </w:r>
    </w:p>
  </w:footnote>
  <w:footnote w:id="48">
    <w:p w14:paraId="458856E4" w14:textId="77777777" w:rsidR="00103681" w:rsidRPr="00103681" w:rsidRDefault="00103681" w:rsidP="00103681">
      <w:pPr>
        <w:pStyle w:val="FootnoteText"/>
      </w:pPr>
      <w:r>
        <w:rPr>
          <w:rStyle w:val="FootnoteReference"/>
        </w:rPr>
        <w:footnoteRef/>
      </w:r>
      <w:r>
        <w:t xml:space="preserve"> </w:t>
      </w:r>
      <w:r w:rsidRPr="00103681">
        <w:t>Michael P. Hengartner, Silvia Passalacqua, Andreas Andreae, Thomas Heinsius, Urs Hepp, Wulf Rössler,</w:t>
      </w:r>
    </w:p>
    <w:p w14:paraId="10FAC339" w14:textId="577BE507" w:rsidR="00103681" w:rsidRDefault="00103681">
      <w:pPr>
        <w:pStyle w:val="FootnoteText"/>
      </w:pPr>
      <w:r w:rsidRPr="00103681">
        <w:t xml:space="preserve">and Agnes von Wyl, “Antidepressant Use During Acute Inpatient Care Is Associated With an Increased Risk of Psychiatric Rehospitalisation Over a 12-Month Follow-Up After Discharge,” </w:t>
      </w:r>
      <w:r w:rsidRPr="00103681">
        <w:rPr>
          <w:i/>
        </w:rPr>
        <w:t xml:space="preserve">Front. Psychiatry </w:t>
      </w:r>
      <w:r w:rsidRPr="00103681">
        <w:t>10 (2019). 10.3389/ fpsyt.2019.00079.</w:t>
      </w:r>
    </w:p>
  </w:footnote>
  <w:footnote w:id="49">
    <w:p w14:paraId="09412AC0" w14:textId="7AAF16E8" w:rsidR="00B50EBE" w:rsidRDefault="00B50EBE">
      <w:pPr>
        <w:pStyle w:val="FootnoteText"/>
      </w:pPr>
      <w:r>
        <w:rPr>
          <w:rStyle w:val="FootnoteReference"/>
        </w:rPr>
        <w:footnoteRef/>
      </w:r>
      <w:r>
        <w:t xml:space="preserve"> </w:t>
      </w:r>
      <w:r w:rsidRPr="00B50EBE">
        <w:t xml:space="preserve">H. Verdoux, A. Cougnard, A. Thiébaut, and M. Tournier. “Impact of Duration of Antidepressant Treatment on the Risk of Occurrence of a New Sequence of Antidepressant Treatment,” </w:t>
      </w:r>
      <w:r w:rsidRPr="00B50EBE">
        <w:rPr>
          <w:i/>
        </w:rPr>
        <w:t xml:space="preserve">Pharmacopsychiatry </w:t>
      </w:r>
      <w:r w:rsidRPr="00B50EBE">
        <w:t>44 (2011): 96–101. 10.1055/s-0031-1271686.</w:t>
      </w:r>
    </w:p>
  </w:footnote>
  <w:footnote w:id="50">
    <w:p w14:paraId="751FD1C1" w14:textId="77777777" w:rsidR="00B50EBE" w:rsidRPr="00B50EBE" w:rsidRDefault="00B50EBE" w:rsidP="00B50EBE">
      <w:pPr>
        <w:pStyle w:val="FootnoteText"/>
      </w:pPr>
      <w:r>
        <w:rPr>
          <w:rStyle w:val="FootnoteReference"/>
        </w:rPr>
        <w:footnoteRef/>
      </w:r>
      <w:r>
        <w:t xml:space="preserve"> </w:t>
      </w:r>
      <w:r w:rsidRPr="00B50EBE">
        <w:t xml:space="preserve">Carlos A. Zarate, Jr., Mauricio Tohen, Michelle Land, and Sarah Cavanagh, “Functional Impairment and Cognition in Bipolar Disorder,” </w:t>
      </w:r>
      <w:r w:rsidRPr="00B50EBE">
        <w:rPr>
          <w:i/>
        </w:rPr>
        <w:t xml:space="preserve">Psychiatric Quarterly </w:t>
      </w:r>
      <w:r w:rsidRPr="00B50EBE">
        <w:t>71 (2000): 309–329. 10.1023/a:1004632206684.</w:t>
      </w:r>
    </w:p>
    <w:p w14:paraId="1E7FB5BD" w14:textId="60BEC4DC" w:rsidR="00B50EBE" w:rsidRDefault="00B50EBE">
      <w:pPr>
        <w:pStyle w:val="FootnoteText"/>
      </w:pPr>
    </w:p>
  </w:footnote>
  <w:footnote w:id="51">
    <w:p w14:paraId="0B0939FA" w14:textId="0954F61F" w:rsidR="00B50EBE" w:rsidRPr="00B50EBE" w:rsidRDefault="00B50EBE">
      <w:pPr>
        <w:pStyle w:val="FootnoteText"/>
        <w:rPr>
          <w:i/>
        </w:rPr>
      </w:pPr>
      <w:r>
        <w:rPr>
          <w:rStyle w:val="FootnoteReference"/>
        </w:rPr>
        <w:footnoteRef/>
      </w:r>
      <w:r>
        <w:t xml:space="preserve"> </w:t>
      </w:r>
      <w:r w:rsidRPr="00B50EBE">
        <w:t xml:space="preserve">Whitaker, </w:t>
      </w:r>
      <w:r w:rsidRPr="00B50EBE">
        <w:rPr>
          <w:i/>
        </w:rPr>
        <w:t>Anatomy of an Epidemic.</w:t>
      </w:r>
    </w:p>
  </w:footnote>
  <w:footnote w:id="52">
    <w:p w14:paraId="148C1D24" w14:textId="31F7C533" w:rsidR="00B50EBE" w:rsidRPr="0079127E" w:rsidRDefault="00B50EBE">
      <w:pPr>
        <w:pStyle w:val="FootnoteText"/>
        <w:rPr>
          <w:color w:val="000000" w:themeColor="text1"/>
        </w:rPr>
      </w:pPr>
      <w:r>
        <w:rPr>
          <w:rStyle w:val="FootnoteReference"/>
        </w:rPr>
        <w:footnoteRef/>
      </w:r>
      <w:r>
        <w:t xml:space="preserve"> </w:t>
      </w:r>
      <w:r w:rsidRPr="00B50EBE">
        <w:t xml:space="preserve">Andrés Martin, Christopher Young, James F. Leckman, Chengeto Mukonoweshuro, Robert Rosenheck, and </w:t>
      </w:r>
      <w:r w:rsidRPr="0079127E">
        <w:rPr>
          <w:color w:val="000000" w:themeColor="text1"/>
        </w:rPr>
        <w:t xml:space="preserve">Douglas Leslie, “Age Effects on Antidepressant-Induced Manic Conversion,” </w:t>
      </w:r>
      <w:r w:rsidRPr="0079127E">
        <w:rPr>
          <w:i/>
          <w:color w:val="000000" w:themeColor="text1"/>
        </w:rPr>
        <w:t xml:space="preserve">Arch Pediatr Adolesc </w:t>
      </w:r>
      <w:r w:rsidRPr="0079127E">
        <w:rPr>
          <w:color w:val="000000" w:themeColor="text1"/>
        </w:rPr>
        <w:t>Med 158 (2004): 773. 10.1001/archpedi.158.8.773.</w:t>
      </w:r>
    </w:p>
  </w:footnote>
  <w:footnote w:id="53">
    <w:p w14:paraId="65C4D6FD" w14:textId="08049B54" w:rsidR="00B50EBE" w:rsidRPr="0079127E" w:rsidRDefault="00B50EBE">
      <w:pPr>
        <w:pStyle w:val="FootnoteText"/>
        <w:rPr>
          <w:i/>
          <w:color w:val="000000" w:themeColor="text1"/>
        </w:rPr>
      </w:pPr>
      <w:r w:rsidRPr="0079127E">
        <w:rPr>
          <w:rStyle w:val="FootnoteReference"/>
          <w:color w:val="000000" w:themeColor="text1"/>
        </w:rPr>
        <w:footnoteRef/>
      </w:r>
      <w:r w:rsidRPr="0079127E">
        <w:rPr>
          <w:color w:val="000000" w:themeColor="text1"/>
        </w:rPr>
        <w:t xml:space="preserve"> </w:t>
      </w:r>
      <w:r w:rsidRPr="0079127E">
        <w:rPr>
          <w:color w:val="000000" w:themeColor="text1"/>
        </w:rPr>
        <w:t xml:space="preserve">Whitaker, </w:t>
      </w:r>
      <w:r w:rsidRPr="0079127E">
        <w:rPr>
          <w:i/>
          <w:color w:val="000000" w:themeColor="text1"/>
        </w:rPr>
        <w:t>Anatomy of an Epidemic.</w:t>
      </w:r>
    </w:p>
  </w:footnote>
  <w:footnote w:id="54">
    <w:p w14:paraId="0A2B5BE8" w14:textId="03C65483" w:rsidR="0079127E" w:rsidRPr="0079127E" w:rsidRDefault="0079127E">
      <w:pPr>
        <w:pStyle w:val="FootnoteText"/>
        <w:rPr>
          <w:color w:val="000000" w:themeColor="text1"/>
        </w:rPr>
      </w:pPr>
      <w:r w:rsidRPr="0079127E">
        <w:rPr>
          <w:rStyle w:val="FootnoteReference"/>
          <w:color w:val="000000" w:themeColor="text1"/>
        </w:rPr>
        <w:footnoteRef/>
      </w:r>
      <w:r w:rsidRPr="0079127E">
        <w:rPr>
          <w:color w:val="000000" w:themeColor="text1"/>
        </w:rPr>
        <w:t xml:space="preserve"> </w:t>
      </w:r>
      <w:r w:rsidRPr="0079127E">
        <w:rPr>
          <w:color w:val="000000" w:themeColor="text1"/>
        </w:rPr>
        <w:t xml:space="preserve">Robert Whitaker, “Making the Case Against Antidepressants in Parliament,” Mad in America. May 10, 2016. https:// </w:t>
      </w:r>
      <w:hyperlink r:id="rId1">
        <w:r w:rsidRPr="0079127E">
          <w:rPr>
            <w:rStyle w:val="Hyperlink"/>
            <w:color w:val="000000" w:themeColor="text1"/>
            <w:u w:val="none"/>
          </w:rPr>
          <w:t>www.madinamerica.com/2016/05/making-the-case-against-antidepressants-in-parliament/.</w:t>
        </w:r>
      </w:hyperlink>
    </w:p>
  </w:footnote>
  <w:footnote w:id="55">
    <w:p w14:paraId="74705FBA" w14:textId="77777777" w:rsidR="0079127E" w:rsidRDefault="0079127E" w:rsidP="0079127E">
      <w:pPr>
        <w:spacing w:before="62"/>
        <w:rPr>
          <w:rFonts w:ascii="Times New Roman"/>
          <w:i/>
          <w:sz w:val="20"/>
        </w:rPr>
      </w:pPr>
      <w:r>
        <w:rPr>
          <w:rStyle w:val="FootnoteReference"/>
        </w:rPr>
        <w:footnoteRef/>
      </w:r>
      <w:r>
        <w:t xml:space="preserve"> </w:t>
      </w:r>
      <w:r>
        <w:rPr>
          <w:rFonts w:ascii="Times New Roman"/>
          <w:color w:val="231F20"/>
          <w:sz w:val="20"/>
        </w:rPr>
        <w:t>Whitaker,</w:t>
      </w:r>
      <w:r>
        <w:rPr>
          <w:rFonts w:ascii="Times New Roman"/>
          <w:color w:val="231F20"/>
          <w:spacing w:val="17"/>
          <w:sz w:val="20"/>
        </w:rPr>
        <w:t xml:space="preserve"> </w:t>
      </w:r>
      <w:r>
        <w:rPr>
          <w:rFonts w:ascii="Times New Roman"/>
          <w:i/>
          <w:color w:val="231F20"/>
          <w:sz w:val="20"/>
        </w:rPr>
        <w:t>Anatomy</w:t>
      </w:r>
      <w:r>
        <w:rPr>
          <w:rFonts w:ascii="Times New Roman"/>
          <w:i/>
          <w:color w:val="231F20"/>
          <w:spacing w:val="10"/>
          <w:sz w:val="20"/>
        </w:rPr>
        <w:t xml:space="preserve"> </w:t>
      </w:r>
      <w:r>
        <w:rPr>
          <w:rFonts w:ascii="Times New Roman"/>
          <w:i/>
          <w:color w:val="231F20"/>
          <w:sz w:val="20"/>
        </w:rPr>
        <w:t>of</w:t>
      </w:r>
      <w:r>
        <w:rPr>
          <w:rFonts w:ascii="Times New Roman"/>
          <w:i/>
          <w:color w:val="231F20"/>
          <w:spacing w:val="9"/>
          <w:sz w:val="20"/>
        </w:rPr>
        <w:t xml:space="preserve"> </w:t>
      </w:r>
      <w:r>
        <w:rPr>
          <w:rFonts w:ascii="Times New Roman"/>
          <w:i/>
          <w:color w:val="231F20"/>
          <w:sz w:val="20"/>
        </w:rPr>
        <w:t>an</w:t>
      </w:r>
      <w:r>
        <w:rPr>
          <w:rFonts w:ascii="Times New Roman"/>
          <w:i/>
          <w:color w:val="231F20"/>
          <w:spacing w:val="10"/>
          <w:sz w:val="20"/>
        </w:rPr>
        <w:t xml:space="preserve"> </w:t>
      </w:r>
      <w:r>
        <w:rPr>
          <w:rFonts w:ascii="Times New Roman"/>
          <w:i/>
          <w:color w:val="231F20"/>
          <w:spacing w:val="-2"/>
          <w:sz w:val="20"/>
        </w:rPr>
        <w:t>Epidemic.</w:t>
      </w:r>
    </w:p>
    <w:p w14:paraId="5D271408" w14:textId="16155789" w:rsidR="0079127E" w:rsidRDefault="0079127E">
      <w:pPr>
        <w:pStyle w:val="FootnoteText"/>
      </w:pPr>
    </w:p>
  </w:footnote>
  <w:footnote w:id="56">
    <w:p w14:paraId="4294073A" w14:textId="3A07AFAE" w:rsidR="0079127E" w:rsidRDefault="0079127E">
      <w:pPr>
        <w:pStyle w:val="FootnoteText"/>
      </w:pPr>
      <w:r>
        <w:rPr>
          <w:rStyle w:val="FootnoteReference"/>
        </w:rPr>
        <w:footnoteRef/>
      </w:r>
      <w:r>
        <w:t xml:space="preserve"> </w:t>
      </w:r>
      <w:r>
        <w:rPr>
          <w:rFonts w:ascii="Times New Roman" w:hAnsi="Times New Roman"/>
          <w:color w:val="231F20"/>
        </w:rPr>
        <w:t>Sukanta</w:t>
      </w:r>
      <w:r>
        <w:rPr>
          <w:rFonts w:ascii="Times New Roman" w:hAnsi="Times New Roman"/>
          <w:color w:val="231F20"/>
          <w:spacing w:val="25"/>
        </w:rPr>
        <w:t xml:space="preserve"> </w:t>
      </w:r>
      <w:r>
        <w:rPr>
          <w:rFonts w:ascii="Times New Roman" w:hAnsi="Times New Roman"/>
          <w:color w:val="231F20"/>
        </w:rPr>
        <w:t>Saha,</w:t>
      </w:r>
      <w:r>
        <w:rPr>
          <w:rFonts w:ascii="Times New Roman" w:hAnsi="Times New Roman"/>
          <w:color w:val="231F20"/>
          <w:spacing w:val="25"/>
        </w:rPr>
        <w:t xml:space="preserve"> </w:t>
      </w:r>
      <w:r>
        <w:rPr>
          <w:rFonts w:ascii="Times New Roman" w:hAnsi="Times New Roman"/>
          <w:color w:val="231F20"/>
        </w:rPr>
        <w:t>David</w:t>
      </w:r>
      <w:r>
        <w:rPr>
          <w:rFonts w:ascii="Times New Roman" w:hAnsi="Times New Roman"/>
          <w:color w:val="231F20"/>
          <w:spacing w:val="25"/>
        </w:rPr>
        <w:t xml:space="preserve"> </w:t>
      </w:r>
      <w:r>
        <w:rPr>
          <w:rFonts w:ascii="Times New Roman" w:hAnsi="Times New Roman"/>
          <w:color w:val="231F20"/>
        </w:rPr>
        <w:t>Chant,</w:t>
      </w:r>
      <w:r>
        <w:rPr>
          <w:rFonts w:ascii="Times New Roman" w:hAnsi="Times New Roman"/>
          <w:color w:val="231F20"/>
          <w:spacing w:val="25"/>
        </w:rPr>
        <w:t xml:space="preserve"> </w:t>
      </w:r>
      <w:r>
        <w:rPr>
          <w:rFonts w:ascii="Times New Roman" w:hAnsi="Times New Roman"/>
          <w:color w:val="231F20"/>
        </w:rPr>
        <w:t>and</w:t>
      </w:r>
      <w:r>
        <w:rPr>
          <w:rFonts w:ascii="Times New Roman" w:hAnsi="Times New Roman"/>
          <w:color w:val="231F20"/>
          <w:spacing w:val="25"/>
        </w:rPr>
        <w:t xml:space="preserve"> </w:t>
      </w:r>
      <w:r>
        <w:rPr>
          <w:rFonts w:ascii="Times New Roman" w:hAnsi="Times New Roman"/>
          <w:color w:val="231F20"/>
        </w:rPr>
        <w:t>John</w:t>
      </w:r>
      <w:r>
        <w:rPr>
          <w:rFonts w:ascii="Times New Roman" w:hAnsi="Times New Roman"/>
          <w:color w:val="231F20"/>
          <w:spacing w:val="25"/>
        </w:rPr>
        <w:t xml:space="preserve"> </w:t>
      </w:r>
      <w:r>
        <w:rPr>
          <w:rFonts w:ascii="Times New Roman" w:hAnsi="Times New Roman"/>
          <w:color w:val="231F20"/>
        </w:rPr>
        <w:t>McGrath,</w:t>
      </w:r>
      <w:r>
        <w:rPr>
          <w:rFonts w:ascii="Times New Roman" w:hAnsi="Times New Roman"/>
          <w:color w:val="231F20"/>
          <w:spacing w:val="25"/>
        </w:rPr>
        <w:t xml:space="preserve"> </w:t>
      </w:r>
      <w:r>
        <w:rPr>
          <w:rFonts w:ascii="Times New Roman" w:hAnsi="Times New Roman"/>
          <w:color w:val="231F20"/>
        </w:rPr>
        <w:t>“A Systematic</w:t>
      </w:r>
      <w:r>
        <w:rPr>
          <w:rFonts w:ascii="Times New Roman" w:hAnsi="Times New Roman"/>
          <w:color w:val="231F20"/>
          <w:spacing w:val="25"/>
        </w:rPr>
        <w:t xml:space="preserve"> </w:t>
      </w:r>
      <w:r>
        <w:rPr>
          <w:rFonts w:ascii="Times New Roman" w:hAnsi="Times New Roman"/>
          <w:color w:val="231F20"/>
        </w:rPr>
        <w:t>Review</w:t>
      </w:r>
      <w:r>
        <w:rPr>
          <w:rFonts w:ascii="Times New Roman" w:hAnsi="Times New Roman"/>
          <w:color w:val="231F20"/>
          <w:spacing w:val="23"/>
        </w:rPr>
        <w:t xml:space="preserve"> </w:t>
      </w:r>
      <w:r>
        <w:rPr>
          <w:rFonts w:ascii="Times New Roman" w:hAnsi="Times New Roman"/>
          <w:color w:val="231F20"/>
        </w:rPr>
        <w:t>of</w:t>
      </w:r>
      <w:r>
        <w:rPr>
          <w:rFonts w:ascii="Times New Roman" w:hAnsi="Times New Roman"/>
          <w:color w:val="231F20"/>
          <w:spacing w:val="25"/>
        </w:rPr>
        <w:t xml:space="preserve"> </w:t>
      </w:r>
      <w:r>
        <w:rPr>
          <w:rFonts w:ascii="Times New Roman" w:hAnsi="Times New Roman"/>
          <w:color w:val="231F20"/>
        </w:rPr>
        <w:t>Mortality</w:t>
      </w:r>
      <w:r>
        <w:rPr>
          <w:rFonts w:ascii="Times New Roman" w:hAnsi="Times New Roman"/>
          <w:color w:val="231F20"/>
          <w:spacing w:val="25"/>
        </w:rPr>
        <w:t xml:space="preserve"> </w:t>
      </w:r>
      <w:r>
        <w:rPr>
          <w:rFonts w:ascii="Times New Roman" w:hAnsi="Times New Roman"/>
          <w:color w:val="231F20"/>
        </w:rPr>
        <w:t>in</w:t>
      </w:r>
      <w:r>
        <w:rPr>
          <w:rFonts w:ascii="Times New Roman" w:hAnsi="Times New Roman"/>
          <w:color w:val="231F20"/>
          <w:spacing w:val="25"/>
        </w:rPr>
        <w:t xml:space="preserve"> </w:t>
      </w:r>
      <w:r>
        <w:rPr>
          <w:rFonts w:ascii="Times New Roman" w:hAnsi="Times New Roman"/>
          <w:color w:val="231F20"/>
        </w:rPr>
        <w:t>Schizophrenia,”</w:t>
      </w:r>
      <w:r>
        <w:rPr>
          <w:rFonts w:ascii="Times New Roman" w:hAnsi="Times New Roman"/>
          <w:color w:val="231F20"/>
          <w:spacing w:val="25"/>
        </w:rPr>
        <w:t xml:space="preserve"> </w:t>
      </w:r>
      <w:r>
        <w:rPr>
          <w:rFonts w:ascii="Times New Roman" w:hAnsi="Times New Roman"/>
          <w:i/>
          <w:color w:val="231F20"/>
        </w:rPr>
        <w:t>Arch Gen Psychiatr</w:t>
      </w:r>
      <w:r>
        <w:rPr>
          <w:rFonts w:ascii="Times New Roman" w:hAnsi="Times New Roman"/>
          <w:color w:val="231F20"/>
        </w:rPr>
        <w:t>y 64 (2007): 1123. 10.1001/archpsyc.64.10.1123.</w:t>
      </w:r>
    </w:p>
  </w:footnote>
  <w:footnote w:id="57">
    <w:p w14:paraId="7E93D0AD" w14:textId="77777777" w:rsidR="0079127E" w:rsidRPr="0079127E" w:rsidRDefault="0079127E" w:rsidP="0079127E">
      <w:pPr>
        <w:pStyle w:val="FootnoteText"/>
      </w:pPr>
      <w:r>
        <w:rPr>
          <w:rStyle w:val="FootnoteReference"/>
        </w:rPr>
        <w:footnoteRef/>
      </w:r>
      <w:r>
        <w:t xml:space="preserve"> </w:t>
      </w:r>
      <w:r w:rsidRPr="0079127E">
        <w:t xml:space="preserve">Joseph F. Hayes, Louise Marston, Kate Walters, Michael B. King, and David P. J. Osborn, “Mortality Gap for People with Bipolar Disorder and Schizophrenia: UK-Based Cohort Study 2000–2014,” </w:t>
      </w:r>
      <w:r w:rsidRPr="0079127E">
        <w:rPr>
          <w:i/>
        </w:rPr>
        <w:t xml:space="preserve">Br J Psychiatry </w:t>
      </w:r>
      <w:r w:rsidRPr="0079127E">
        <w:t>211 (2017): 175–181. 10.1192/bjp.bp.117.202606.</w:t>
      </w:r>
    </w:p>
    <w:p w14:paraId="5325990D" w14:textId="07B96A06" w:rsidR="0079127E" w:rsidRDefault="0079127E">
      <w:pPr>
        <w:pStyle w:val="FootnoteText"/>
      </w:pPr>
    </w:p>
  </w:footnote>
  <w:footnote w:id="58">
    <w:p w14:paraId="51F6B38C" w14:textId="5979B6D9" w:rsidR="00823D4B" w:rsidRPr="00823D4B" w:rsidRDefault="00823D4B">
      <w:pPr>
        <w:pStyle w:val="FootnoteText"/>
        <w:rPr>
          <w:color w:val="000000" w:themeColor="text1"/>
        </w:rPr>
      </w:pPr>
      <w:r w:rsidRPr="00823D4B">
        <w:rPr>
          <w:rStyle w:val="FootnoteReference"/>
          <w:color w:val="000000" w:themeColor="text1"/>
        </w:rPr>
        <w:footnoteRef/>
      </w:r>
      <w:r w:rsidRPr="00823D4B">
        <w:rPr>
          <w:color w:val="000000" w:themeColor="text1"/>
        </w:rPr>
        <w:t xml:space="preserve"> </w:t>
      </w:r>
      <w:r w:rsidRPr="00823D4B">
        <w:rPr>
          <w:rFonts w:ascii="Times New Roman" w:hAnsi="Times New Roman"/>
          <w:color w:val="000000" w:themeColor="text1"/>
        </w:rPr>
        <w:t>I</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have</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found</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David</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Powlison’s</w:t>
      </w:r>
      <w:r w:rsidRPr="00823D4B">
        <w:rPr>
          <w:rFonts w:ascii="Times New Roman" w:hAnsi="Times New Roman"/>
          <w:color w:val="000000" w:themeColor="text1"/>
          <w:spacing w:val="32"/>
        </w:rPr>
        <w:t xml:space="preserve"> </w:t>
      </w:r>
      <w:r w:rsidRPr="00823D4B">
        <w:rPr>
          <w:rFonts w:ascii="Times New Roman" w:hAnsi="Times New Roman"/>
          <w:color w:val="000000" w:themeColor="text1"/>
        </w:rPr>
        <w:t>analytic</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invaluable</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for</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sorting</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through</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material</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from</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the</w:t>
      </w:r>
      <w:r w:rsidRPr="00823D4B">
        <w:rPr>
          <w:rFonts w:ascii="Times New Roman" w:hAnsi="Times New Roman"/>
          <w:color w:val="000000" w:themeColor="text1"/>
          <w:spacing w:val="34"/>
        </w:rPr>
        <w:t xml:space="preserve"> </w:t>
      </w:r>
      <w:r w:rsidRPr="00823D4B">
        <w:rPr>
          <w:rFonts w:ascii="Times New Roman" w:hAnsi="Times New Roman"/>
          <w:color w:val="000000" w:themeColor="text1"/>
        </w:rPr>
        <w:t>psychologies:</w:t>
      </w:r>
      <w:r w:rsidRPr="00823D4B">
        <w:rPr>
          <w:rFonts w:ascii="Times New Roman" w:hAnsi="Times New Roman"/>
          <w:color w:val="000000" w:themeColor="text1"/>
          <w:spacing w:val="80"/>
        </w:rPr>
        <w:t xml:space="preserve"> </w:t>
      </w:r>
      <w:r w:rsidRPr="00823D4B">
        <w:rPr>
          <w:rFonts w:ascii="Times New Roman" w:hAnsi="Times New Roman"/>
          <w:color w:val="000000" w:themeColor="text1"/>
        </w:rPr>
        <w:t>information/ descriptives</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(attempts</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to</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explain</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what</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is),</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interpretation/theory</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(explanations</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are</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signposts</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to</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solutions),</w:t>
      </w:r>
      <w:r w:rsidRPr="00823D4B">
        <w:rPr>
          <w:rFonts w:ascii="Times New Roman" w:hAnsi="Times New Roman"/>
          <w:color w:val="000000" w:themeColor="text1"/>
          <w:spacing w:val="40"/>
        </w:rPr>
        <w:t xml:space="preserve"> </w:t>
      </w:r>
      <w:r w:rsidRPr="00823D4B">
        <w:rPr>
          <w:rFonts w:ascii="Times New Roman" w:hAnsi="Times New Roman"/>
          <w:color w:val="000000" w:themeColor="text1"/>
        </w:rPr>
        <w:t xml:space="preserve">and intervention/prescriptives (attempts to change what is), in </w:t>
      </w:r>
      <w:r w:rsidRPr="00823D4B">
        <w:rPr>
          <w:rFonts w:ascii="Times New Roman" w:hAnsi="Times New Roman"/>
          <w:i/>
          <w:color w:val="000000" w:themeColor="text1"/>
        </w:rPr>
        <w:t xml:space="preserve">Theology and Secular Psychology CCEF Course Notebook </w:t>
      </w:r>
      <w:r w:rsidRPr="00823D4B">
        <w:rPr>
          <w:rFonts w:ascii="Times New Roman" w:hAnsi="Times New Roman"/>
          <w:color w:val="000000" w:themeColor="text1"/>
        </w:rPr>
        <w:t>(Glenside, PA: CCEF, 2016), 8-9.</w:t>
      </w:r>
    </w:p>
  </w:footnote>
  <w:footnote w:id="59">
    <w:p w14:paraId="48C40248" w14:textId="5E2B45C7" w:rsidR="00823D4B" w:rsidRPr="00823D4B" w:rsidRDefault="00823D4B" w:rsidP="00823D4B">
      <w:pPr>
        <w:spacing w:before="63"/>
        <w:rPr>
          <w:rFonts w:ascii="Times New Roman"/>
          <w:color w:val="000000" w:themeColor="text1"/>
          <w:sz w:val="20"/>
        </w:rPr>
      </w:pPr>
      <w:r w:rsidRPr="00823D4B">
        <w:rPr>
          <w:rStyle w:val="FootnoteReference"/>
          <w:color w:val="000000" w:themeColor="text1"/>
        </w:rPr>
        <w:footnoteRef/>
      </w:r>
      <w:r w:rsidRPr="00823D4B">
        <w:rPr>
          <w:color w:val="000000" w:themeColor="text1"/>
        </w:rPr>
        <w:t xml:space="preserve"> </w:t>
      </w:r>
      <w:r w:rsidRPr="00823D4B">
        <w:rPr>
          <w:rFonts w:ascii="Times New Roman"/>
          <w:color w:val="000000" w:themeColor="text1"/>
          <w:sz w:val="20"/>
        </w:rPr>
        <w:t>The</w:t>
      </w:r>
      <w:r w:rsidRPr="00823D4B">
        <w:rPr>
          <w:rFonts w:ascii="Times New Roman"/>
          <w:color w:val="000000" w:themeColor="text1"/>
          <w:spacing w:val="22"/>
          <w:sz w:val="20"/>
        </w:rPr>
        <w:t xml:space="preserve"> </w:t>
      </w:r>
      <w:r w:rsidRPr="00823D4B">
        <w:rPr>
          <w:rFonts w:ascii="Times New Roman"/>
          <w:color w:val="000000" w:themeColor="text1"/>
          <w:sz w:val="20"/>
        </w:rPr>
        <w:t>doctrine</w:t>
      </w:r>
      <w:r w:rsidRPr="00823D4B">
        <w:rPr>
          <w:rFonts w:ascii="Times New Roman"/>
          <w:color w:val="000000" w:themeColor="text1"/>
          <w:spacing w:val="23"/>
          <w:sz w:val="20"/>
        </w:rPr>
        <w:t xml:space="preserve"> </w:t>
      </w:r>
      <w:r w:rsidRPr="00823D4B">
        <w:rPr>
          <w:rFonts w:ascii="Times New Roman"/>
          <w:color w:val="000000" w:themeColor="text1"/>
          <w:sz w:val="20"/>
        </w:rPr>
        <w:t>of</w:t>
      </w:r>
      <w:r w:rsidRPr="00823D4B">
        <w:rPr>
          <w:rFonts w:ascii="Times New Roman"/>
          <w:color w:val="000000" w:themeColor="text1"/>
          <w:spacing w:val="22"/>
          <w:sz w:val="20"/>
        </w:rPr>
        <w:t xml:space="preserve"> </w:t>
      </w:r>
      <w:r w:rsidRPr="00823D4B">
        <w:rPr>
          <w:rFonts w:ascii="Times New Roman"/>
          <w:color w:val="000000" w:themeColor="text1"/>
          <w:sz w:val="20"/>
        </w:rPr>
        <w:t>the</w:t>
      </w:r>
      <w:r w:rsidRPr="00823D4B">
        <w:rPr>
          <w:rFonts w:ascii="Times New Roman"/>
          <w:color w:val="000000" w:themeColor="text1"/>
          <w:spacing w:val="22"/>
          <w:sz w:val="20"/>
        </w:rPr>
        <w:t xml:space="preserve"> </w:t>
      </w:r>
      <w:r w:rsidRPr="00823D4B">
        <w:rPr>
          <w:rFonts w:ascii="Times New Roman"/>
          <w:color w:val="000000" w:themeColor="text1"/>
          <w:sz w:val="20"/>
        </w:rPr>
        <w:t>noetic</w:t>
      </w:r>
      <w:r w:rsidRPr="00823D4B">
        <w:rPr>
          <w:rFonts w:ascii="Times New Roman"/>
          <w:color w:val="000000" w:themeColor="text1"/>
          <w:spacing w:val="23"/>
          <w:sz w:val="20"/>
        </w:rPr>
        <w:t xml:space="preserve"> </w:t>
      </w:r>
      <w:r w:rsidRPr="00823D4B">
        <w:rPr>
          <w:rFonts w:ascii="Times New Roman"/>
          <w:color w:val="000000" w:themeColor="text1"/>
          <w:sz w:val="20"/>
        </w:rPr>
        <w:t>effects</w:t>
      </w:r>
      <w:r w:rsidRPr="00823D4B">
        <w:rPr>
          <w:rFonts w:ascii="Times New Roman"/>
          <w:color w:val="000000" w:themeColor="text1"/>
          <w:spacing w:val="21"/>
          <w:sz w:val="20"/>
        </w:rPr>
        <w:t xml:space="preserve"> </w:t>
      </w:r>
      <w:r w:rsidRPr="00823D4B">
        <w:rPr>
          <w:rFonts w:ascii="Times New Roman"/>
          <w:color w:val="000000" w:themeColor="text1"/>
          <w:sz w:val="20"/>
        </w:rPr>
        <w:t>of</w:t>
      </w:r>
      <w:r w:rsidRPr="00823D4B">
        <w:rPr>
          <w:rFonts w:ascii="Times New Roman"/>
          <w:color w:val="000000" w:themeColor="text1"/>
          <w:spacing w:val="22"/>
          <w:sz w:val="20"/>
        </w:rPr>
        <w:t xml:space="preserve"> </w:t>
      </w:r>
      <w:r w:rsidRPr="00823D4B">
        <w:rPr>
          <w:rFonts w:ascii="Times New Roman"/>
          <w:color w:val="000000" w:themeColor="text1"/>
          <w:sz w:val="20"/>
        </w:rPr>
        <w:t>the</w:t>
      </w:r>
      <w:r w:rsidRPr="00823D4B">
        <w:rPr>
          <w:rFonts w:ascii="Times New Roman"/>
          <w:color w:val="000000" w:themeColor="text1"/>
          <w:spacing w:val="23"/>
          <w:sz w:val="20"/>
        </w:rPr>
        <w:t xml:space="preserve"> </w:t>
      </w:r>
      <w:r w:rsidRPr="00823D4B">
        <w:rPr>
          <w:rFonts w:ascii="Times New Roman"/>
          <w:color w:val="000000" w:themeColor="text1"/>
          <w:sz w:val="20"/>
        </w:rPr>
        <w:t>Fall</w:t>
      </w:r>
      <w:r w:rsidRPr="00823D4B">
        <w:rPr>
          <w:rFonts w:ascii="Times New Roman"/>
          <w:color w:val="000000" w:themeColor="text1"/>
          <w:spacing w:val="22"/>
          <w:sz w:val="20"/>
        </w:rPr>
        <w:t xml:space="preserve"> </w:t>
      </w:r>
      <w:r w:rsidRPr="00823D4B">
        <w:rPr>
          <w:rFonts w:ascii="Times New Roman"/>
          <w:color w:val="000000" w:themeColor="text1"/>
          <w:sz w:val="20"/>
        </w:rPr>
        <w:t>refers</w:t>
      </w:r>
      <w:r w:rsidRPr="00823D4B">
        <w:rPr>
          <w:rFonts w:ascii="Times New Roman"/>
          <w:color w:val="000000" w:themeColor="text1"/>
          <w:spacing w:val="21"/>
          <w:sz w:val="20"/>
        </w:rPr>
        <w:t xml:space="preserve"> </w:t>
      </w:r>
      <w:r w:rsidRPr="00823D4B">
        <w:rPr>
          <w:rFonts w:ascii="Times New Roman"/>
          <w:color w:val="000000" w:themeColor="text1"/>
          <w:sz w:val="20"/>
        </w:rPr>
        <w:t>to</w:t>
      </w:r>
      <w:r w:rsidRPr="00823D4B">
        <w:rPr>
          <w:rFonts w:ascii="Times New Roman"/>
          <w:color w:val="000000" w:themeColor="text1"/>
          <w:spacing w:val="22"/>
          <w:sz w:val="20"/>
        </w:rPr>
        <w:t xml:space="preserve"> </w:t>
      </w:r>
      <w:r w:rsidRPr="00823D4B">
        <w:rPr>
          <w:rFonts w:ascii="Times New Roman"/>
          <w:color w:val="000000" w:themeColor="text1"/>
          <w:sz w:val="20"/>
        </w:rPr>
        <w:t>the</w:t>
      </w:r>
      <w:r w:rsidRPr="00823D4B">
        <w:rPr>
          <w:rFonts w:ascii="Times New Roman"/>
          <w:color w:val="000000" w:themeColor="text1"/>
          <w:spacing w:val="23"/>
          <w:sz w:val="20"/>
        </w:rPr>
        <w:t xml:space="preserve"> </w:t>
      </w:r>
      <w:r w:rsidRPr="00823D4B">
        <w:rPr>
          <w:rFonts w:ascii="Times New Roman"/>
          <w:color w:val="000000" w:themeColor="text1"/>
          <w:sz w:val="20"/>
        </w:rPr>
        <w:t>intellectual</w:t>
      </w:r>
      <w:r w:rsidRPr="00823D4B">
        <w:rPr>
          <w:rFonts w:ascii="Times New Roman"/>
          <w:color w:val="000000" w:themeColor="text1"/>
          <w:spacing w:val="22"/>
          <w:sz w:val="20"/>
        </w:rPr>
        <w:t xml:space="preserve"> </w:t>
      </w:r>
      <w:r w:rsidRPr="00823D4B">
        <w:rPr>
          <w:rFonts w:ascii="Times New Roman"/>
          <w:color w:val="000000" w:themeColor="text1"/>
          <w:sz w:val="20"/>
        </w:rPr>
        <w:t>consequences</w:t>
      </w:r>
      <w:r w:rsidRPr="00823D4B">
        <w:rPr>
          <w:rFonts w:ascii="Times New Roman"/>
          <w:color w:val="000000" w:themeColor="text1"/>
          <w:spacing w:val="21"/>
          <w:sz w:val="20"/>
        </w:rPr>
        <w:t xml:space="preserve"> </w:t>
      </w:r>
      <w:r w:rsidRPr="00823D4B">
        <w:rPr>
          <w:rFonts w:ascii="Times New Roman"/>
          <w:color w:val="000000" w:themeColor="text1"/>
          <w:sz w:val="20"/>
        </w:rPr>
        <w:t>of</w:t>
      </w:r>
      <w:r w:rsidRPr="00823D4B">
        <w:rPr>
          <w:rFonts w:ascii="Times New Roman"/>
          <w:color w:val="000000" w:themeColor="text1"/>
          <w:spacing w:val="23"/>
          <w:sz w:val="20"/>
        </w:rPr>
        <w:t xml:space="preserve"> </w:t>
      </w:r>
      <w:r w:rsidRPr="00823D4B">
        <w:rPr>
          <w:rFonts w:ascii="Times New Roman"/>
          <w:color w:val="000000" w:themeColor="text1"/>
          <w:spacing w:val="-4"/>
          <w:sz w:val="20"/>
        </w:rPr>
        <w:t>sin.</w:t>
      </w:r>
    </w:p>
  </w:footnote>
  <w:footnote w:id="60">
    <w:p w14:paraId="168CD607" w14:textId="5AA29269" w:rsidR="00823D4B" w:rsidRPr="00823D4B" w:rsidRDefault="00823D4B">
      <w:pPr>
        <w:pStyle w:val="FootnoteText"/>
        <w:rPr>
          <w:color w:val="000000" w:themeColor="text1"/>
        </w:rPr>
      </w:pPr>
      <w:r w:rsidRPr="00823D4B">
        <w:rPr>
          <w:rStyle w:val="FootnoteReference"/>
          <w:color w:val="000000" w:themeColor="text1"/>
        </w:rPr>
        <w:footnoteRef/>
      </w:r>
      <w:r w:rsidRPr="00823D4B">
        <w:rPr>
          <w:color w:val="000000" w:themeColor="text1"/>
        </w:rPr>
        <w:t xml:space="preserve"> </w:t>
      </w:r>
      <w:r w:rsidRPr="00823D4B">
        <w:rPr>
          <w:color w:val="000000" w:themeColor="text1"/>
        </w:rPr>
        <w:t>My professional background includes an MA in Marriage and Family therapy, which focused on methodology of psychotherapy; an MA and PsyD in Clinical Psychology from a scientist-practitioner model, which included education and practical experience in research and neuropsychology; and an MABC.</w:t>
      </w:r>
    </w:p>
  </w:footnote>
  <w:footnote w:id="61">
    <w:p w14:paraId="6A03E1B6" w14:textId="5DC8509D" w:rsidR="00823D4B" w:rsidRPr="00823D4B" w:rsidRDefault="00823D4B">
      <w:pPr>
        <w:pStyle w:val="FootnoteText"/>
        <w:rPr>
          <w:color w:val="000000" w:themeColor="text1"/>
        </w:rPr>
      </w:pPr>
      <w:r w:rsidRPr="00823D4B">
        <w:rPr>
          <w:rStyle w:val="FootnoteReference"/>
          <w:color w:val="000000" w:themeColor="text1"/>
        </w:rPr>
        <w:footnoteRef/>
      </w:r>
      <w:r w:rsidRPr="00823D4B">
        <w:rPr>
          <w:color w:val="000000" w:themeColor="text1"/>
        </w:rPr>
        <w:t xml:space="preserve"> </w:t>
      </w:r>
      <w:r w:rsidRPr="00823D4B">
        <w:rPr>
          <w:rFonts w:ascii="Times New Roman" w:hAnsi="Times New Roman"/>
          <w:color w:val="000000" w:themeColor="text1"/>
        </w:rPr>
        <w:t>Daniele</w:t>
      </w:r>
      <w:r w:rsidRPr="00823D4B">
        <w:rPr>
          <w:rFonts w:ascii="Times New Roman" w:hAnsi="Times New Roman"/>
          <w:color w:val="000000" w:themeColor="text1"/>
          <w:spacing w:val="23"/>
        </w:rPr>
        <w:t xml:space="preserve"> </w:t>
      </w:r>
      <w:r w:rsidRPr="00823D4B">
        <w:rPr>
          <w:rFonts w:ascii="Times New Roman" w:hAnsi="Times New Roman"/>
          <w:color w:val="000000" w:themeColor="text1"/>
        </w:rPr>
        <w:t>Fanelli,</w:t>
      </w:r>
      <w:r w:rsidRPr="00823D4B">
        <w:rPr>
          <w:rFonts w:ascii="Times New Roman" w:hAnsi="Times New Roman"/>
          <w:color w:val="000000" w:themeColor="text1"/>
          <w:spacing w:val="23"/>
        </w:rPr>
        <w:t xml:space="preserve"> </w:t>
      </w:r>
      <w:r w:rsidRPr="00823D4B">
        <w:rPr>
          <w:rFonts w:ascii="Times New Roman" w:hAnsi="Times New Roman"/>
          <w:color w:val="000000" w:themeColor="text1"/>
        </w:rPr>
        <w:t>“‘Positive’ Results</w:t>
      </w:r>
      <w:r w:rsidRPr="00823D4B">
        <w:rPr>
          <w:rFonts w:ascii="Times New Roman" w:hAnsi="Times New Roman"/>
          <w:color w:val="000000" w:themeColor="text1"/>
          <w:spacing w:val="22"/>
        </w:rPr>
        <w:t xml:space="preserve"> </w:t>
      </w:r>
      <w:r w:rsidRPr="00823D4B">
        <w:rPr>
          <w:rFonts w:ascii="Times New Roman" w:hAnsi="Times New Roman"/>
          <w:color w:val="000000" w:themeColor="text1"/>
        </w:rPr>
        <w:t>Increase</w:t>
      </w:r>
      <w:r w:rsidRPr="00823D4B">
        <w:rPr>
          <w:rFonts w:ascii="Times New Roman" w:hAnsi="Times New Roman"/>
          <w:color w:val="000000" w:themeColor="text1"/>
          <w:spacing w:val="23"/>
        </w:rPr>
        <w:t xml:space="preserve"> </w:t>
      </w:r>
      <w:r w:rsidRPr="00823D4B">
        <w:rPr>
          <w:rFonts w:ascii="Times New Roman" w:hAnsi="Times New Roman"/>
          <w:color w:val="000000" w:themeColor="text1"/>
        </w:rPr>
        <w:t>Down</w:t>
      </w:r>
      <w:r w:rsidRPr="00823D4B">
        <w:rPr>
          <w:rFonts w:ascii="Times New Roman" w:hAnsi="Times New Roman"/>
          <w:color w:val="000000" w:themeColor="text1"/>
          <w:spacing w:val="23"/>
        </w:rPr>
        <w:t xml:space="preserve"> </w:t>
      </w:r>
      <w:r w:rsidRPr="00823D4B">
        <w:rPr>
          <w:rFonts w:ascii="Times New Roman" w:hAnsi="Times New Roman"/>
          <w:color w:val="000000" w:themeColor="text1"/>
        </w:rPr>
        <w:t>the</w:t>
      </w:r>
      <w:r w:rsidRPr="00823D4B">
        <w:rPr>
          <w:rFonts w:ascii="Times New Roman" w:hAnsi="Times New Roman"/>
          <w:color w:val="000000" w:themeColor="text1"/>
          <w:spacing w:val="23"/>
        </w:rPr>
        <w:t xml:space="preserve"> </w:t>
      </w:r>
      <w:r w:rsidRPr="00823D4B">
        <w:rPr>
          <w:rFonts w:ascii="Times New Roman" w:hAnsi="Times New Roman"/>
          <w:color w:val="000000" w:themeColor="text1"/>
        </w:rPr>
        <w:t>Hierarchy</w:t>
      </w:r>
      <w:r w:rsidRPr="00823D4B">
        <w:rPr>
          <w:rFonts w:ascii="Times New Roman" w:hAnsi="Times New Roman"/>
          <w:color w:val="000000" w:themeColor="text1"/>
          <w:spacing w:val="23"/>
        </w:rPr>
        <w:t xml:space="preserve"> </w:t>
      </w:r>
      <w:r w:rsidRPr="00823D4B">
        <w:rPr>
          <w:rFonts w:ascii="Times New Roman" w:hAnsi="Times New Roman"/>
          <w:color w:val="000000" w:themeColor="text1"/>
        </w:rPr>
        <w:t>of</w:t>
      </w:r>
      <w:r w:rsidRPr="00823D4B">
        <w:rPr>
          <w:rFonts w:ascii="Times New Roman" w:hAnsi="Times New Roman"/>
          <w:color w:val="000000" w:themeColor="text1"/>
          <w:spacing w:val="23"/>
        </w:rPr>
        <w:t xml:space="preserve"> </w:t>
      </w:r>
      <w:r w:rsidRPr="00823D4B">
        <w:rPr>
          <w:rFonts w:ascii="Times New Roman" w:hAnsi="Times New Roman"/>
          <w:color w:val="000000" w:themeColor="text1"/>
        </w:rPr>
        <w:t>the</w:t>
      </w:r>
      <w:r w:rsidRPr="00823D4B">
        <w:rPr>
          <w:rFonts w:ascii="Times New Roman" w:hAnsi="Times New Roman"/>
          <w:color w:val="000000" w:themeColor="text1"/>
          <w:spacing w:val="23"/>
        </w:rPr>
        <w:t xml:space="preserve"> </w:t>
      </w:r>
      <w:r w:rsidRPr="00823D4B">
        <w:rPr>
          <w:rFonts w:ascii="Times New Roman" w:hAnsi="Times New Roman"/>
          <w:color w:val="000000" w:themeColor="text1"/>
        </w:rPr>
        <w:t>Sciences,”</w:t>
      </w:r>
      <w:r w:rsidRPr="00823D4B">
        <w:rPr>
          <w:rFonts w:ascii="Times New Roman" w:hAnsi="Times New Roman"/>
          <w:color w:val="000000" w:themeColor="text1"/>
          <w:spacing w:val="18"/>
        </w:rPr>
        <w:t xml:space="preserve"> </w:t>
      </w:r>
      <w:r w:rsidRPr="00823D4B">
        <w:rPr>
          <w:rFonts w:ascii="Times New Roman" w:hAnsi="Times New Roman"/>
          <w:i/>
          <w:color w:val="000000" w:themeColor="text1"/>
        </w:rPr>
        <w:t xml:space="preserve">PLoS ONE </w:t>
      </w:r>
      <w:r w:rsidRPr="00823D4B">
        <w:rPr>
          <w:rFonts w:ascii="Times New Roman" w:hAnsi="Times New Roman"/>
          <w:color w:val="000000" w:themeColor="text1"/>
        </w:rPr>
        <w:t>5,</w:t>
      </w:r>
      <w:r w:rsidRPr="00823D4B">
        <w:rPr>
          <w:rFonts w:ascii="Times New Roman" w:hAnsi="Times New Roman"/>
          <w:color w:val="000000" w:themeColor="text1"/>
          <w:spacing w:val="23"/>
        </w:rPr>
        <w:t xml:space="preserve"> </w:t>
      </w:r>
      <w:r w:rsidRPr="00823D4B">
        <w:rPr>
          <w:rFonts w:ascii="Times New Roman" w:hAnsi="Times New Roman"/>
          <w:color w:val="000000" w:themeColor="text1"/>
        </w:rPr>
        <w:t>no.</w:t>
      </w:r>
      <w:r w:rsidRPr="00823D4B">
        <w:rPr>
          <w:rFonts w:ascii="Times New Roman" w:hAnsi="Times New Roman"/>
          <w:color w:val="000000" w:themeColor="text1"/>
          <w:spacing w:val="23"/>
        </w:rPr>
        <w:t xml:space="preserve"> </w:t>
      </w:r>
      <w:r w:rsidRPr="00823D4B">
        <w:rPr>
          <w:rFonts w:ascii="Times New Roman" w:hAnsi="Times New Roman"/>
          <w:color w:val="000000" w:themeColor="text1"/>
        </w:rPr>
        <w:t>4</w:t>
      </w:r>
      <w:r w:rsidRPr="00823D4B">
        <w:rPr>
          <w:rFonts w:ascii="Times New Roman" w:hAnsi="Times New Roman"/>
          <w:color w:val="000000" w:themeColor="text1"/>
          <w:spacing w:val="23"/>
        </w:rPr>
        <w:t xml:space="preserve"> </w:t>
      </w:r>
      <w:r w:rsidRPr="00823D4B">
        <w:rPr>
          <w:rFonts w:ascii="Times New Roman" w:hAnsi="Times New Roman"/>
          <w:color w:val="000000" w:themeColor="text1"/>
        </w:rPr>
        <w:t>(2010): e10068,</w:t>
      </w:r>
      <w:r w:rsidRPr="00823D4B">
        <w:rPr>
          <w:rFonts w:ascii="Times New Roman" w:hAnsi="Times New Roman"/>
          <w:color w:val="000000" w:themeColor="text1"/>
          <w:spacing w:val="25"/>
        </w:rPr>
        <w:t xml:space="preserve"> </w:t>
      </w:r>
      <w:hyperlink r:id="rId2">
        <w:r w:rsidRPr="00823D4B">
          <w:rPr>
            <w:rFonts w:ascii="Times New Roman" w:hAnsi="Times New Roman"/>
            <w:color w:val="000000" w:themeColor="text1"/>
          </w:rPr>
          <w:t>https://doi.org/10.1371/journal.pone.0010068.</w:t>
        </w:r>
      </w:hyperlink>
    </w:p>
  </w:footnote>
  <w:footnote w:id="62">
    <w:p w14:paraId="6C80DE62" w14:textId="77777777" w:rsidR="00823D4B" w:rsidRPr="00823D4B" w:rsidRDefault="00823D4B" w:rsidP="00823D4B">
      <w:pPr>
        <w:pStyle w:val="FootnoteText"/>
        <w:rPr>
          <w:color w:val="000000" w:themeColor="text1"/>
        </w:rPr>
      </w:pPr>
      <w:r w:rsidRPr="00823D4B">
        <w:rPr>
          <w:rStyle w:val="FootnoteReference"/>
          <w:color w:val="000000" w:themeColor="text1"/>
        </w:rPr>
        <w:footnoteRef/>
      </w:r>
      <w:r w:rsidRPr="00823D4B">
        <w:rPr>
          <w:color w:val="000000" w:themeColor="text1"/>
        </w:rPr>
        <w:t xml:space="preserve"> </w:t>
      </w:r>
      <w:r w:rsidRPr="00823D4B">
        <w:rPr>
          <w:color w:val="000000" w:themeColor="text1"/>
        </w:rPr>
        <w:t xml:space="preserve">Psychometrics is “the branch of psychology concerned with the quantification and measurement of mental attributes, behavior, performance, and the like, as well as with the design, analysis, and improvement of the tests, questionnaires, and other instruments used in such measurement.” American Psychological Association, accessed May 29, 2021, </w:t>
      </w:r>
      <w:hyperlink r:id="rId3">
        <w:r w:rsidRPr="00823D4B">
          <w:rPr>
            <w:rStyle w:val="Hyperlink"/>
            <w:color w:val="000000" w:themeColor="text1"/>
            <w:u w:val="none"/>
          </w:rPr>
          <w:t>https://dictionary.apa.org/psychometrics.</w:t>
        </w:r>
      </w:hyperlink>
    </w:p>
    <w:p w14:paraId="7F74A444" w14:textId="26E038CF" w:rsidR="00823D4B" w:rsidRDefault="00823D4B">
      <w:pPr>
        <w:pStyle w:val="FootnoteText"/>
      </w:pPr>
    </w:p>
  </w:footnote>
  <w:footnote w:id="63">
    <w:p w14:paraId="4D526AF4" w14:textId="512A3707" w:rsidR="006B0F05" w:rsidRPr="00296FBA" w:rsidRDefault="006B0F05">
      <w:pPr>
        <w:pStyle w:val="FootnoteText"/>
        <w:rPr>
          <w:color w:val="000000" w:themeColor="text1"/>
        </w:rPr>
      </w:pPr>
      <w:r w:rsidRPr="006B0F05">
        <w:rPr>
          <w:rStyle w:val="FootnoteReference"/>
          <w:color w:val="000000" w:themeColor="text1"/>
        </w:rPr>
        <w:footnoteRef/>
      </w:r>
      <w:r w:rsidRPr="006B0F05">
        <w:rPr>
          <w:color w:val="000000" w:themeColor="text1"/>
        </w:rPr>
        <w:t xml:space="preserve"> </w:t>
      </w:r>
      <w:r w:rsidRPr="006B0F05">
        <w:rPr>
          <w:color w:val="000000" w:themeColor="text1"/>
        </w:rPr>
        <w:t xml:space="preserve">Scott Scheall, accessed April 28, 2021, </w:t>
      </w:r>
      <w:hyperlink r:id="rId4">
        <w:r w:rsidRPr="006B0F05">
          <w:rPr>
            <w:rStyle w:val="Hyperlink"/>
            <w:color w:val="000000" w:themeColor="text1"/>
            <w:u w:val="none"/>
          </w:rPr>
          <w:t>https://www.aier.org/article/science-is-more-complex-than-advertised/.</w:t>
        </w:r>
      </w:hyperlink>
    </w:p>
  </w:footnote>
  <w:footnote w:id="64">
    <w:p w14:paraId="6A619E76" w14:textId="194A4448" w:rsidR="00296FBA" w:rsidRDefault="00296FBA">
      <w:pPr>
        <w:pStyle w:val="FootnoteText"/>
      </w:pPr>
      <w:r>
        <w:rPr>
          <w:rStyle w:val="FootnoteReference"/>
        </w:rPr>
        <w:footnoteRef/>
      </w:r>
      <w:r>
        <w:t xml:space="preserve"> </w:t>
      </w:r>
      <w:r w:rsidRPr="00296FBA">
        <w:t xml:space="preserve">These factors and related research are deeply informed by Stuart Richie, </w:t>
      </w:r>
      <w:r w:rsidRPr="00296FBA">
        <w:rPr>
          <w:i/>
        </w:rPr>
        <w:t xml:space="preserve">Science Fictions: How Fraud, Bias, Negligence, and Hype Undermine the Search for Truth </w:t>
      </w:r>
      <w:r w:rsidRPr="00296FBA">
        <w:t>(New York: Metropolitan Books, 2020). Ritchie’s goal is not to undermine science, but to point to reforms in science.</w:t>
      </w:r>
    </w:p>
  </w:footnote>
  <w:footnote w:id="65">
    <w:p w14:paraId="45971B1B" w14:textId="1B187881" w:rsidR="00296FBA" w:rsidRDefault="00296FBA">
      <w:pPr>
        <w:pStyle w:val="FootnoteText"/>
      </w:pPr>
      <w:r>
        <w:rPr>
          <w:rStyle w:val="FootnoteReference"/>
        </w:rPr>
        <w:footnoteRef/>
      </w:r>
      <w:r>
        <w:t xml:space="preserve"> </w:t>
      </w:r>
      <w:r w:rsidRPr="00296FBA">
        <w:t xml:space="preserve">Daniele Fanelli, “How Many Scientists Fabricate and Falsify Research? A Systematic Review and Meta-Analysis of Survey Data,” </w:t>
      </w:r>
      <w:r w:rsidRPr="00296FBA">
        <w:rPr>
          <w:i/>
        </w:rPr>
        <w:t xml:space="preserve">PLoS ONE </w:t>
      </w:r>
      <w:r w:rsidRPr="00296FBA">
        <w:t>4, no. 5 (2009): e5738.</w:t>
      </w:r>
    </w:p>
  </w:footnote>
  <w:footnote w:id="66">
    <w:p w14:paraId="4DC8FB93" w14:textId="0E20E88E" w:rsidR="00296FBA" w:rsidRDefault="00296FBA">
      <w:pPr>
        <w:pStyle w:val="FootnoteText"/>
      </w:pPr>
      <w:r>
        <w:rPr>
          <w:rStyle w:val="FootnoteReference"/>
        </w:rPr>
        <w:footnoteRef/>
      </w:r>
      <w:r>
        <w:t xml:space="preserve"> </w:t>
      </w:r>
      <w:r w:rsidRPr="00296FBA">
        <w:t xml:space="preserve">Jesse Singal, </w:t>
      </w:r>
      <w:r w:rsidRPr="00296FBA">
        <w:rPr>
          <w:i/>
        </w:rPr>
        <w:t xml:space="preserve">The Quick Fix: Why Fad Psychology Can’t Cure Our Social Ills </w:t>
      </w:r>
      <w:r w:rsidRPr="00296FBA">
        <w:t>(New York: Farrar, Straus and Giroux, 2021), 260.</w:t>
      </w:r>
    </w:p>
  </w:footnote>
  <w:footnote w:id="67">
    <w:p w14:paraId="30319839" w14:textId="72183380" w:rsidR="00296FBA" w:rsidRDefault="00296FBA">
      <w:pPr>
        <w:pStyle w:val="FootnoteText"/>
      </w:pPr>
      <w:r>
        <w:rPr>
          <w:rStyle w:val="FootnoteReference"/>
        </w:rPr>
        <w:footnoteRef/>
      </w:r>
      <w:r>
        <w:t xml:space="preserve"> </w:t>
      </w:r>
      <w:r>
        <w:rPr>
          <w:rFonts w:ascii="Times New Roman" w:hAnsi="Times New Roman"/>
          <w:color w:val="231F20"/>
        </w:rPr>
        <w:t>Leslie</w:t>
      </w:r>
      <w:r>
        <w:rPr>
          <w:rFonts w:ascii="Times New Roman" w:hAnsi="Times New Roman"/>
          <w:color w:val="231F20"/>
          <w:spacing w:val="40"/>
        </w:rPr>
        <w:t xml:space="preserve"> </w:t>
      </w:r>
      <w:r>
        <w:rPr>
          <w:rFonts w:ascii="Times New Roman" w:hAnsi="Times New Roman"/>
          <w:color w:val="231F20"/>
        </w:rPr>
        <w:t>K.</w:t>
      </w:r>
      <w:r>
        <w:rPr>
          <w:rFonts w:ascii="Times New Roman" w:hAnsi="Times New Roman"/>
          <w:color w:val="231F20"/>
          <w:spacing w:val="40"/>
        </w:rPr>
        <w:t xml:space="preserve"> </w:t>
      </w:r>
      <w:r>
        <w:rPr>
          <w:rFonts w:ascii="Times New Roman" w:hAnsi="Times New Roman"/>
          <w:color w:val="231F20"/>
        </w:rPr>
        <w:t>John,</w:t>
      </w:r>
      <w:r>
        <w:rPr>
          <w:rFonts w:ascii="Times New Roman" w:hAnsi="Times New Roman"/>
          <w:color w:val="231F20"/>
          <w:spacing w:val="40"/>
        </w:rPr>
        <w:t xml:space="preserve"> </w:t>
      </w:r>
      <w:r>
        <w:rPr>
          <w:rFonts w:ascii="Times New Roman" w:hAnsi="Times New Roman"/>
          <w:color w:val="231F20"/>
        </w:rPr>
        <w:t>George</w:t>
      </w:r>
      <w:r>
        <w:rPr>
          <w:rFonts w:ascii="Times New Roman" w:hAnsi="Times New Roman"/>
          <w:color w:val="231F20"/>
          <w:spacing w:val="40"/>
        </w:rPr>
        <w:t xml:space="preserve"> </w:t>
      </w:r>
      <w:r>
        <w:rPr>
          <w:rFonts w:ascii="Times New Roman" w:hAnsi="Times New Roman"/>
          <w:color w:val="231F20"/>
        </w:rPr>
        <w:t>Loewenstein,</w:t>
      </w:r>
      <w:r>
        <w:rPr>
          <w:rFonts w:ascii="Times New Roman" w:hAnsi="Times New Roman"/>
          <w:color w:val="231F20"/>
          <w:spacing w:val="40"/>
        </w:rPr>
        <w:t xml:space="preserve"> </w:t>
      </w:r>
      <w:r>
        <w:rPr>
          <w:rFonts w:ascii="Times New Roman" w:hAnsi="Times New Roman"/>
          <w:color w:val="231F20"/>
        </w:rPr>
        <w:t>and</w:t>
      </w:r>
      <w:r>
        <w:rPr>
          <w:rFonts w:ascii="Times New Roman" w:hAnsi="Times New Roman"/>
          <w:color w:val="231F20"/>
          <w:spacing w:val="40"/>
        </w:rPr>
        <w:t xml:space="preserve"> </w:t>
      </w:r>
      <w:r>
        <w:rPr>
          <w:rFonts w:ascii="Times New Roman" w:hAnsi="Times New Roman"/>
          <w:color w:val="231F20"/>
        </w:rPr>
        <w:t>Drazen</w:t>
      </w:r>
      <w:r>
        <w:rPr>
          <w:rFonts w:ascii="Times New Roman" w:hAnsi="Times New Roman"/>
          <w:color w:val="231F20"/>
          <w:spacing w:val="40"/>
        </w:rPr>
        <w:t xml:space="preserve"> </w:t>
      </w:r>
      <w:r>
        <w:rPr>
          <w:rFonts w:ascii="Times New Roman" w:hAnsi="Times New Roman"/>
          <w:color w:val="231F20"/>
        </w:rPr>
        <w:t>Prelec,</w:t>
      </w:r>
      <w:r>
        <w:rPr>
          <w:rFonts w:ascii="Times New Roman" w:hAnsi="Times New Roman"/>
          <w:color w:val="231F20"/>
          <w:spacing w:val="40"/>
        </w:rPr>
        <w:t xml:space="preserve"> </w:t>
      </w:r>
      <w:r>
        <w:rPr>
          <w:rFonts w:ascii="Times New Roman" w:hAnsi="Times New Roman"/>
          <w:color w:val="231F20"/>
        </w:rPr>
        <w:t>“Measuring</w:t>
      </w:r>
      <w:r>
        <w:rPr>
          <w:rFonts w:ascii="Times New Roman" w:hAnsi="Times New Roman"/>
          <w:color w:val="231F20"/>
          <w:spacing w:val="40"/>
        </w:rPr>
        <w:t xml:space="preserve"> </w:t>
      </w:r>
      <w:r>
        <w:rPr>
          <w:rFonts w:ascii="Times New Roman" w:hAnsi="Times New Roman"/>
          <w:color w:val="231F20"/>
        </w:rPr>
        <w:t>the</w:t>
      </w:r>
      <w:r>
        <w:rPr>
          <w:rFonts w:ascii="Times New Roman" w:hAnsi="Times New Roman"/>
          <w:color w:val="231F20"/>
          <w:spacing w:val="40"/>
        </w:rPr>
        <w:t xml:space="preserve"> </w:t>
      </w:r>
      <w:r>
        <w:rPr>
          <w:rFonts w:ascii="Times New Roman" w:hAnsi="Times New Roman"/>
          <w:color w:val="231F20"/>
        </w:rPr>
        <w:t>Prevalence</w:t>
      </w:r>
      <w:r>
        <w:rPr>
          <w:rFonts w:ascii="Times New Roman" w:hAnsi="Times New Roman"/>
          <w:color w:val="231F20"/>
          <w:spacing w:val="40"/>
        </w:rPr>
        <w:t xml:space="preserve"> </w:t>
      </w:r>
      <w:r>
        <w:rPr>
          <w:rFonts w:ascii="Times New Roman" w:hAnsi="Times New Roman"/>
          <w:color w:val="231F20"/>
        </w:rPr>
        <w:t>of</w:t>
      </w:r>
      <w:r>
        <w:rPr>
          <w:rFonts w:ascii="Times New Roman" w:hAnsi="Times New Roman"/>
          <w:color w:val="231F20"/>
          <w:spacing w:val="40"/>
        </w:rPr>
        <w:t xml:space="preserve"> </w:t>
      </w:r>
      <w:r>
        <w:rPr>
          <w:rFonts w:ascii="Times New Roman" w:hAnsi="Times New Roman"/>
          <w:color w:val="231F20"/>
        </w:rPr>
        <w:t>Questionable Research</w:t>
      </w:r>
      <w:r>
        <w:rPr>
          <w:rFonts w:ascii="Times New Roman" w:hAnsi="Times New Roman"/>
          <w:color w:val="231F20"/>
          <w:spacing w:val="26"/>
        </w:rPr>
        <w:t xml:space="preserve"> </w:t>
      </w:r>
      <w:r>
        <w:rPr>
          <w:rFonts w:ascii="Times New Roman" w:hAnsi="Times New Roman"/>
          <w:color w:val="231F20"/>
        </w:rPr>
        <w:t>Practices</w:t>
      </w:r>
      <w:r>
        <w:rPr>
          <w:rFonts w:ascii="Times New Roman" w:hAnsi="Times New Roman"/>
          <w:color w:val="231F20"/>
          <w:spacing w:val="25"/>
        </w:rPr>
        <w:t xml:space="preserve"> </w:t>
      </w:r>
      <w:r>
        <w:rPr>
          <w:rFonts w:ascii="Times New Roman" w:hAnsi="Times New Roman"/>
          <w:color w:val="231F20"/>
        </w:rPr>
        <w:t>with</w:t>
      </w:r>
      <w:r>
        <w:rPr>
          <w:rFonts w:ascii="Times New Roman" w:hAnsi="Times New Roman"/>
          <w:color w:val="231F20"/>
          <w:spacing w:val="26"/>
        </w:rPr>
        <w:t xml:space="preserve"> </w:t>
      </w:r>
      <w:r>
        <w:rPr>
          <w:rFonts w:ascii="Times New Roman" w:hAnsi="Times New Roman"/>
          <w:color w:val="231F20"/>
        </w:rPr>
        <w:t>Incentives</w:t>
      </w:r>
      <w:r>
        <w:rPr>
          <w:rFonts w:ascii="Times New Roman" w:hAnsi="Times New Roman"/>
          <w:color w:val="231F20"/>
          <w:spacing w:val="25"/>
        </w:rPr>
        <w:t xml:space="preserve"> </w:t>
      </w:r>
      <w:r>
        <w:rPr>
          <w:rFonts w:ascii="Times New Roman" w:hAnsi="Times New Roman"/>
          <w:color w:val="231F20"/>
        </w:rPr>
        <w:t>for Truth Telling,”</w:t>
      </w:r>
      <w:r>
        <w:rPr>
          <w:rFonts w:ascii="Times New Roman" w:hAnsi="Times New Roman"/>
          <w:color w:val="231F20"/>
          <w:spacing w:val="26"/>
        </w:rPr>
        <w:t xml:space="preserve"> </w:t>
      </w:r>
      <w:r>
        <w:rPr>
          <w:rFonts w:ascii="Times New Roman" w:hAnsi="Times New Roman"/>
          <w:i/>
          <w:color w:val="231F20"/>
        </w:rPr>
        <w:t xml:space="preserve">Psychological Science </w:t>
      </w:r>
      <w:r>
        <w:rPr>
          <w:rFonts w:ascii="Times New Roman" w:hAnsi="Times New Roman"/>
          <w:color w:val="231F20"/>
        </w:rPr>
        <w:t>23</w:t>
      </w:r>
      <w:r>
        <w:rPr>
          <w:rFonts w:ascii="Times New Roman" w:hAnsi="Times New Roman"/>
          <w:color w:val="231F20"/>
          <w:spacing w:val="26"/>
        </w:rPr>
        <w:t xml:space="preserve"> </w:t>
      </w:r>
      <w:r>
        <w:rPr>
          <w:rFonts w:ascii="Times New Roman" w:hAnsi="Times New Roman"/>
          <w:color w:val="231F20"/>
        </w:rPr>
        <w:t>(2012):</w:t>
      </w:r>
      <w:r>
        <w:rPr>
          <w:rFonts w:ascii="Times New Roman" w:hAnsi="Times New Roman"/>
          <w:color w:val="231F20"/>
          <w:spacing w:val="26"/>
        </w:rPr>
        <w:t xml:space="preserve"> </w:t>
      </w:r>
      <w:r>
        <w:rPr>
          <w:rFonts w:ascii="Times New Roman" w:hAnsi="Times New Roman"/>
          <w:color w:val="231F20"/>
        </w:rPr>
        <w:t>524-532,</w:t>
      </w:r>
      <w:r>
        <w:rPr>
          <w:rFonts w:ascii="Times New Roman" w:hAnsi="Times New Roman"/>
          <w:color w:val="231F20"/>
          <w:spacing w:val="26"/>
        </w:rPr>
        <w:t xml:space="preserve"> </w:t>
      </w:r>
      <w:hyperlink r:id="rId5">
        <w:r>
          <w:rPr>
            <w:rFonts w:ascii="Times New Roman" w:hAnsi="Times New Roman"/>
            <w:color w:val="231F20"/>
          </w:rPr>
          <w:t>https://doi.</w:t>
        </w:r>
      </w:hyperlink>
      <w:r>
        <w:rPr>
          <w:rFonts w:ascii="Times New Roman" w:hAnsi="Times New Roman"/>
          <w:color w:val="231F20"/>
        </w:rPr>
        <w:t xml:space="preserve"> </w:t>
      </w:r>
      <w:r>
        <w:rPr>
          <w:rFonts w:ascii="Times New Roman" w:hAnsi="Times New Roman"/>
          <w:color w:val="231F20"/>
          <w:spacing w:val="-2"/>
        </w:rPr>
        <w:t>org/10.1177/0956797611430953.</w:t>
      </w:r>
    </w:p>
  </w:footnote>
  <w:footnote w:id="68">
    <w:p w14:paraId="7B3E87C6" w14:textId="2AF7DD34" w:rsidR="00296FBA" w:rsidRDefault="00296FBA">
      <w:pPr>
        <w:pStyle w:val="FootnoteText"/>
      </w:pPr>
      <w:r>
        <w:rPr>
          <w:rStyle w:val="FootnoteReference"/>
        </w:rPr>
        <w:footnoteRef/>
      </w:r>
      <w:r>
        <w:t xml:space="preserve"> </w:t>
      </w:r>
      <w:r w:rsidRPr="00296FBA">
        <w:t>Rhea Moutfis, “We’re Facing a Fake Science Crisis, and AI Is Making It Worse,” Built In, June 8, 2021, https:// builtin.com/artificial-intelligence/ai-fake-science.</w:t>
      </w:r>
    </w:p>
  </w:footnote>
  <w:footnote w:id="69">
    <w:p w14:paraId="5A8140C4" w14:textId="77777777" w:rsidR="00296FBA" w:rsidRPr="00296FBA" w:rsidRDefault="00296FBA" w:rsidP="00296FBA">
      <w:pPr>
        <w:pStyle w:val="FootnoteText"/>
      </w:pPr>
      <w:r>
        <w:rPr>
          <w:rStyle w:val="FootnoteReference"/>
        </w:rPr>
        <w:footnoteRef/>
      </w:r>
      <w:r>
        <w:t xml:space="preserve"> </w:t>
      </w:r>
      <w:r w:rsidRPr="00296FBA">
        <w:t xml:space="preserve">This section highly informed by Chris Chambers, </w:t>
      </w:r>
      <w:r w:rsidRPr="00296FBA">
        <w:rPr>
          <w:i/>
        </w:rPr>
        <w:t xml:space="preserve">The Seven Deadly Sins of Psychology: A Manifesto for Reforming the Culture of Scientific Practice, </w:t>
      </w:r>
      <w:r w:rsidRPr="00296FBA">
        <w:t>1st ed. (Princeton: Princeton University Press, 2017).</w:t>
      </w:r>
    </w:p>
    <w:p w14:paraId="6D84455F" w14:textId="2B9E9046" w:rsidR="00296FBA" w:rsidRDefault="00296FBA">
      <w:pPr>
        <w:pStyle w:val="FootnoteText"/>
      </w:pPr>
    </w:p>
  </w:footnote>
  <w:footnote w:id="70">
    <w:p w14:paraId="16642B25" w14:textId="226CA5A5" w:rsidR="00EC769C" w:rsidRPr="002555B2" w:rsidRDefault="00EC769C">
      <w:pPr>
        <w:pStyle w:val="FootnoteText"/>
        <w:rPr>
          <w:color w:val="000000" w:themeColor="text1"/>
        </w:rPr>
      </w:pPr>
      <w:r w:rsidRPr="002555B2">
        <w:rPr>
          <w:rStyle w:val="FootnoteReference"/>
          <w:color w:val="000000" w:themeColor="text1"/>
        </w:rPr>
        <w:footnoteRef/>
      </w:r>
      <w:r w:rsidRPr="002555B2">
        <w:rPr>
          <w:color w:val="000000" w:themeColor="text1"/>
        </w:rPr>
        <w:t xml:space="preserve"> </w:t>
      </w:r>
      <w:r w:rsidRPr="002555B2">
        <w:rPr>
          <w:color w:val="000000" w:themeColor="text1"/>
        </w:rPr>
        <w:t xml:space="preserve">David L. Sackett, “Bias in Analytic Research,” </w:t>
      </w:r>
      <w:r w:rsidRPr="002555B2">
        <w:rPr>
          <w:i/>
          <w:color w:val="000000" w:themeColor="text1"/>
        </w:rPr>
        <w:t xml:space="preserve">Journal of Chronic Diseases </w:t>
      </w:r>
      <w:r w:rsidRPr="002555B2">
        <w:rPr>
          <w:color w:val="000000" w:themeColor="text1"/>
        </w:rPr>
        <w:t>32 (1979): 60. See appendix for many entertaining bias labels, such as Hot stuff bias, Therapeutic personality bias, Bogus control bias.</w:t>
      </w:r>
    </w:p>
  </w:footnote>
  <w:footnote w:id="71">
    <w:p w14:paraId="0325A555" w14:textId="4AD1C442" w:rsidR="00EC769C" w:rsidRPr="002555B2" w:rsidRDefault="00EC769C">
      <w:pPr>
        <w:pStyle w:val="FootnoteText"/>
        <w:rPr>
          <w:color w:val="000000" w:themeColor="text1"/>
        </w:rPr>
      </w:pPr>
      <w:r w:rsidRPr="002555B2">
        <w:rPr>
          <w:rStyle w:val="FootnoteReference"/>
          <w:color w:val="000000" w:themeColor="text1"/>
        </w:rPr>
        <w:footnoteRef/>
      </w:r>
      <w:r w:rsidRPr="002555B2">
        <w:rPr>
          <w:color w:val="000000" w:themeColor="text1"/>
        </w:rPr>
        <w:t xml:space="preserve"> </w:t>
      </w:r>
      <w:r w:rsidRPr="002555B2">
        <w:rPr>
          <w:color w:val="000000" w:themeColor="text1"/>
        </w:rPr>
        <w:t xml:space="preserve">Center for Open Science, “The Hypothetico-Deductive Model of the Scientific Method &amp; Questionable Research Practices (QRP’s),” </w:t>
      </w:r>
      <w:hyperlink r:id="rId6">
        <w:r w:rsidRPr="002555B2">
          <w:rPr>
            <w:rStyle w:val="Hyperlink"/>
            <w:color w:val="000000" w:themeColor="text1"/>
            <w:u w:val="none"/>
          </w:rPr>
          <w:t>www.cos.io/initiatives/registered-reports,</w:t>
        </w:r>
      </w:hyperlink>
      <w:r w:rsidRPr="002555B2">
        <w:rPr>
          <w:color w:val="000000" w:themeColor="text1"/>
        </w:rPr>
        <w:t xml:space="preserve"> Details &amp; Workflow tab (accessed May 29, 2021).</w:t>
      </w:r>
    </w:p>
  </w:footnote>
  <w:footnote w:id="72">
    <w:p w14:paraId="2763C267" w14:textId="7252C7AA" w:rsidR="00EC769C" w:rsidRPr="002555B2" w:rsidRDefault="00EC769C">
      <w:pPr>
        <w:pStyle w:val="FootnoteText"/>
        <w:rPr>
          <w:color w:val="000000" w:themeColor="text1"/>
        </w:rPr>
      </w:pPr>
      <w:r w:rsidRPr="002555B2">
        <w:rPr>
          <w:rStyle w:val="FootnoteReference"/>
          <w:color w:val="000000" w:themeColor="text1"/>
        </w:rPr>
        <w:footnoteRef/>
      </w:r>
      <w:r w:rsidRPr="002555B2">
        <w:rPr>
          <w:color w:val="000000" w:themeColor="text1"/>
        </w:rPr>
        <w:t xml:space="preserve"> </w:t>
      </w:r>
      <w:r w:rsidRPr="002555B2">
        <w:rPr>
          <w:color w:val="000000" w:themeColor="text1"/>
        </w:rPr>
        <w:t>These are potential areas for these specific QRPs, not an indication that any and all are present in every publication.</w:t>
      </w:r>
    </w:p>
  </w:footnote>
  <w:footnote w:id="73">
    <w:p w14:paraId="681A61FE" w14:textId="609B0F93" w:rsidR="00EC769C" w:rsidRPr="002555B2" w:rsidRDefault="00EC769C">
      <w:pPr>
        <w:pStyle w:val="FootnoteText"/>
        <w:rPr>
          <w:color w:val="000000" w:themeColor="text1"/>
        </w:rPr>
      </w:pPr>
      <w:r w:rsidRPr="002555B2">
        <w:rPr>
          <w:rStyle w:val="FootnoteReference"/>
          <w:color w:val="000000" w:themeColor="text1"/>
        </w:rPr>
        <w:footnoteRef/>
      </w:r>
      <w:r w:rsidRPr="002555B2">
        <w:rPr>
          <w:color w:val="000000" w:themeColor="text1"/>
        </w:rPr>
        <w:t xml:space="preserve"> </w:t>
      </w:r>
      <w:r w:rsidRPr="002555B2">
        <w:rPr>
          <w:color w:val="000000" w:themeColor="text1"/>
        </w:rPr>
        <w:t xml:space="preserve">American Psychological Association, “Confirmation Bias,” 2021, </w:t>
      </w:r>
      <w:hyperlink r:id="rId7">
        <w:r w:rsidRPr="002555B2">
          <w:rPr>
            <w:rStyle w:val="Hyperlink"/>
            <w:color w:val="000000" w:themeColor="text1"/>
            <w:u w:val="none"/>
          </w:rPr>
          <w:t>https://dictionary.apa.org/confirmation-bias.</w:t>
        </w:r>
      </w:hyperlink>
      <w:r w:rsidRPr="002555B2">
        <w:rPr>
          <w:color w:val="000000" w:themeColor="text1"/>
        </w:rPr>
        <w:t xml:space="preserve"> It is important that we look for this log in our own eyes, as we look at research and even at Scripture.</w:t>
      </w:r>
    </w:p>
  </w:footnote>
  <w:footnote w:id="74">
    <w:p w14:paraId="78004AF9" w14:textId="4ED47ED6" w:rsidR="00230295" w:rsidRPr="002555B2" w:rsidRDefault="00230295">
      <w:pPr>
        <w:pStyle w:val="FootnoteText"/>
        <w:rPr>
          <w:color w:val="000000" w:themeColor="text1"/>
        </w:rPr>
      </w:pPr>
      <w:r w:rsidRPr="002555B2">
        <w:rPr>
          <w:rStyle w:val="FootnoteReference"/>
          <w:color w:val="000000" w:themeColor="text1"/>
        </w:rPr>
        <w:footnoteRef/>
      </w:r>
      <w:r w:rsidRPr="002555B2">
        <w:rPr>
          <w:color w:val="000000" w:themeColor="text1"/>
        </w:rPr>
        <w:t xml:space="preserve"> </w:t>
      </w:r>
      <w:r w:rsidRPr="002555B2">
        <w:rPr>
          <w:color w:val="000000" w:themeColor="text1"/>
        </w:rPr>
        <w:t xml:space="preserve">Statistics.com, “Replication,” 2021, </w:t>
      </w:r>
      <w:hyperlink r:id="rId8">
        <w:r w:rsidRPr="002555B2">
          <w:rPr>
            <w:rStyle w:val="Hyperlink"/>
            <w:color w:val="000000" w:themeColor="text1"/>
            <w:u w:val="none"/>
          </w:rPr>
          <w:t>https://www.statistics.com/glossary/replication/</w:t>
        </w:r>
      </w:hyperlink>
      <w:r w:rsidRPr="002555B2">
        <w:rPr>
          <w:color w:val="000000" w:themeColor="text1"/>
        </w:rPr>
        <w:t xml:space="preserve"> (accessed June 7, </w:t>
      </w:r>
      <w:r w:rsidRPr="00230295">
        <w:t xml:space="preserve">2021). There are two types of replication: direct (“repeating the method of a previous experiment as exactly as possible in order to reproduce the finding”) and conceptual (“if an experiment shows evidence for a particular phenomenon, you can replicate it by using a different method that the experimenter believes measures the same class of phenomenon”). Chambers, </w:t>
      </w:r>
      <w:r w:rsidRPr="00230295">
        <w:rPr>
          <w:i/>
        </w:rPr>
        <w:t xml:space="preserve">Seven Sins of Psychology, </w:t>
      </w:r>
      <w:r w:rsidRPr="00230295">
        <w:t xml:space="preserve">14. Conceptual replication is not found in other disciplines, though it is used widely in psychology. “[T]o rely solely on extrapolation at the expense of direct replication is to build a house on sand.” </w:t>
      </w:r>
      <w:r w:rsidRPr="002555B2">
        <w:rPr>
          <w:color w:val="000000" w:themeColor="text1"/>
        </w:rPr>
        <w:t xml:space="preserve">Chambers, </w:t>
      </w:r>
      <w:r w:rsidRPr="002555B2">
        <w:rPr>
          <w:i/>
          <w:color w:val="000000" w:themeColor="text1"/>
        </w:rPr>
        <w:t xml:space="preserve">Seven Sins of Psychology, </w:t>
      </w:r>
      <w:r w:rsidRPr="002555B2">
        <w:rPr>
          <w:color w:val="000000" w:themeColor="text1"/>
        </w:rPr>
        <w:t>49.</w:t>
      </w:r>
    </w:p>
  </w:footnote>
  <w:footnote w:id="75">
    <w:p w14:paraId="5A8089CC" w14:textId="5020AF65" w:rsidR="002555B2" w:rsidRPr="002555B2" w:rsidRDefault="002555B2">
      <w:pPr>
        <w:pStyle w:val="FootnoteText"/>
        <w:rPr>
          <w:color w:val="000000" w:themeColor="text1"/>
        </w:rPr>
      </w:pPr>
      <w:r w:rsidRPr="002555B2">
        <w:rPr>
          <w:rStyle w:val="FootnoteReference"/>
          <w:color w:val="000000" w:themeColor="text1"/>
        </w:rPr>
        <w:footnoteRef/>
      </w:r>
      <w:r w:rsidRPr="002555B2">
        <w:rPr>
          <w:color w:val="000000" w:themeColor="text1"/>
        </w:rPr>
        <w:t xml:space="preserve"> </w:t>
      </w:r>
      <w:r w:rsidRPr="002555B2">
        <w:rPr>
          <w:rFonts w:ascii="Times New Roman"/>
          <w:color w:val="000000" w:themeColor="text1"/>
        </w:rPr>
        <w:t>Center</w:t>
      </w:r>
      <w:r w:rsidRPr="002555B2">
        <w:rPr>
          <w:rFonts w:ascii="Times New Roman"/>
          <w:color w:val="000000" w:themeColor="text1"/>
          <w:spacing w:val="35"/>
        </w:rPr>
        <w:t xml:space="preserve"> </w:t>
      </w:r>
      <w:r w:rsidRPr="002555B2">
        <w:rPr>
          <w:rFonts w:ascii="Times New Roman"/>
          <w:color w:val="000000" w:themeColor="text1"/>
        </w:rPr>
        <w:t>for</w:t>
      </w:r>
      <w:r w:rsidRPr="002555B2">
        <w:rPr>
          <w:rFonts w:ascii="Times New Roman"/>
          <w:color w:val="000000" w:themeColor="text1"/>
          <w:spacing w:val="35"/>
        </w:rPr>
        <w:t xml:space="preserve"> </w:t>
      </w:r>
      <w:r w:rsidRPr="002555B2">
        <w:rPr>
          <w:rFonts w:ascii="Times New Roman"/>
          <w:color w:val="000000" w:themeColor="text1"/>
        </w:rPr>
        <w:t>Open</w:t>
      </w:r>
      <w:r w:rsidRPr="002555B2">
        <w:rPr>
          <w:rFonts w:ascii="Times New Roman"/>
          <w:color w:val="000000" w:themeColor="text1"/>
          <w:spacing w:val="35"/>
        </w:rPr>
        <w:t xml:space="preserve"> </w:t>
      </w:r>
      <w:r w:rsidRPr="002555B2">
        <w:rPr>
          <w:rFonts w:ascii="Times New Roman"/>
          <w:color w:val="000000" w:themeColor="text1"/>
        </w:rPr>
        <w:t>Science,</w:t>
      </w:r>
      <w:r w:rsidRPr="002555B2">
        <w:rPr>
          <w:rFonts w:ascii="Times New Roman"/>
          <w:color w:val="000000" w:themeColor="text1"/>
          <w:spacing w:val="29"/>
        </w:rPr>
        <w:t xml:space="preserve"> </w:t>
      </w:r>
      <w:r w:rsidRPr="002555B2">
        <w:rPr>
          <w:rFonts w:ascii="Times New Roman"/>
          <w:color w:val="000000" w:themeColor="text1"/>
        </w:rPr>
        <w:t>The</w:t>
      </w:r>
      <w:r w:rsidRPr="002555B2">
        <w:rPr>
          <w:rFonts w:ascii="Times New Roman"/>
          <w:color w:val="000000" w:themeColor="text1"/>
          <w:spacing w:val="35"/>
        </w:rPr>
        <w:t xml:space="preserve"> </w:t>
      </w:r>
      <w:r w:rsidRPr="002555B2">
        <w:rPr>
          <w:rFonts w:ascii="Times New Roman"/>
          <w:color w:val="000000" w:themeColor="text1"/>
        </w:rPr>
        <w:t>Hypothetico-Deductive</w:t>
      </w:r>
      <w:r w:rsidRPr="002555B2">
        <w:rPr>
          <w:rFonts w:ascii="Times New Roman"/>
          <w:color w:val="000000" w:themeColor="text1"/>
          <w:spacing w:val="36"/>
        </w:rPr>
        <w:t xml:space="preserve"> </w:t>
      </w:r>
      <w:r w:rsidRPr="002555B2">
        <w:rPr>
          <w:rFonts w:ascii="Times New Roman"/>
          <w:color w:val="000000" w:themeColor="text1"/>
          <w:spacing w:val="-2"/>
        </w:rPr>
        <w:t>Model.</w:t>
      </w:r>
    </w:p>
  </w:footnote>
  <w:footnote w:id="76">
    <w:p w14:paraId="2210C214" w14:textId="77777777" w:rsidR="002555B2" w:rsidRPr="00AE2388" w:rsidRDefault="002555B2" w:rsidP="002555B2">
      <w:pPr>
        <w:pStyle w:val="FootnoteText"/>
        <w:rPr>
          <w:color w:val="000000" w:themeColor="text1"/>
        </w:rPr>
      </w:pPr>
      <w:r w:rsidRPr="00AE2388">
        <w:rPr>
          <w:rStyle w:val="FootnoteReference"/>
          <w:color w:val="000000" w:themeColor="text1"/>
        </w:rPr>
        <w:footnoteRef/>
      </w:r>
      <w:r w:rsidRPr="00AE2388">
        <w:rPr>
          <w:color w:val="000000" w:themeColor="text1"/>
        </w:rPr>
        <w:t xml:space="preserve"> </w:t>
      </w:r>
      <w:r w:rsidRPr="00AE2388">
        <w:rPr>
          <w:color w:val="000000" w:themeColor="text1"/>
        </w:rPr>
        <w:t>Matthew C. Makel, Jonathan A. Plucker and Boyd Hegarty, “Replications in Psychology Research: How</w:t>
      </w:r>
    </w:p>
    <w:p w14:paraId="086EF65C" w14:textId="68E3335D" w:rsidR="002555B2" w:rsidRPr="00AE2388" w:rsidRDefault="002555B2">
      <w:pPr>
        <w:pStyle w:val="FootnoteText"/>
        <w:rPr>
          <w:color w:val="000000" w:themeColor="text1"/>
        </w:rPr>
      </w:pPr>
      <w:r w:rsidRPr="002555B2">
        <w:rPr>
          <w:color w:val="000000" w:themeColor="text1"/>
        </w:rPr>
        <w:t xml:space="preserve">Often Do They Really Occur?” </w:t>
      </w:r>
      <w:r w:rsidRPr="002555B2">
        <w:rPr>
          <w:i/>
          <w:color w:val="000000" w:themeColor="text1"/>
        </w:rPr>
        <w:t xml:space="preserve">Perspectives on Psychological Science </w:t>
      </w:r>
      <w:r w:rsidRPr="002555B2">
        <w:rPr>
          <w:color w:val="000000" w:themeColor="text1"/>
        </w:rPr>
        <w:t xml:space="preserve">7, no. 6 (Nov 2012): 537-542, </w:t>
      </w:r>
      <w:hyperlink r:id="rId9">
        <w:r w:rsidRPr="002555B2">
          <w:rPr>
            <w:rStyle w:val="Hyperlink"/>
            <w:color w:val="000000" w:themeColor="text1"/>
            <w:u w:val="none"/>
          </w:rPr>
          <w:t>https://doi.</w:t>
        </w:r>
      </w:hyperlink>
      <w:r w:rsidRPr="002555B2">
        <w:rPr>
          <w:color w:val="000000" w:themeColor="text1"/>
        </w:rPr>
        <w:t xml:space="preserve"> org/10.1177/1745691612460688.</w:t>
      </w:r>
    </w:p>
  </w:footnote>
  <w:footnote w:id="77">
    <w:p w14:paraId="358B2B1B" w14:textId="4F314816" w:rsidR="00AE2388" w:rsidRPr="00AE2388" w:rsidRDefault="00AE2388">
      <w:pPr>
        <w:pStyle w:val="FootnoteText"/>
        <w:rPr>
          <w:color w:val="000000" w:themeColor="text1"/>
        </w:rPr>
      </w:pPr>
      <w:r w:rsidRPr="00AE2388">
        <w:rPr>
          <w:rStyle w:val="FootnoteReference"/>
          <w:color w:val="000000" w:themeColor="text1"/>
        </w:rPr>
        <w:footnoteRef/>
      </w:r>
      <w:r w:rsidRPr="00AE2388">
        <w:rPr>
          <w:color w:val="000000" w:themeColor="text1"/>
        </w:rPr>
        <w:t xml:space="preserve"> </w:t>
      </w:r>
      <w:r w:rsidRPr="00AE2388">
        <w:rPr>
          <w:color w:val="000000" w:themeColor="text1"/>
        </w:rPr>
        <w:t xml:space="preserve">Open Science Collaboration, “Estimating the Reproducibility of Psychological Science,” </w:t>
      </w:r>
      <w:r w:rsidRPr="00AE2388">
        <w:rPr>
          <w:i/>
          <w:color w:val="000000" w:themeColor="text1"/>
        </w:rPr>
        <w:t>Science 3</w:t>
      </w:r>
      <w:r w:rsidRPr="00AE2388">
        <w:rPr>
          <w:color w:val="000000" w:themeColor="text1"/>
        </w:rPr>
        <w:t xml:space="preserve">49, issue 6251 (August 2015), DOI: 10.1126/science.aac4716. See also Brian Owens, “Replication Failures in Psychology Not Due to Differences in Study Populations.” </w:t>
      </w:r>
      <w:r w:rsidRPr="00AE2388">
        <w:rPr>
          <w:i/>
          <w:color w:val="000000" w:themeColor="text1"/>
        </w:rPr>
        <w:t xml:space="preserve">Nature </w:t>
      </w:r>
      <w:r w:rsidRPr="00AE2388">
        <w:rPr>
          <w:color w:val="000000" w:themeColor="text1"/>
        </w:rPr>
        <w:t xml:space="preserve">(Nov 2018), </w:t>
      </w:r>
      <w:hyperlink r:id="rId10">
        <w:r w:rsidRPr="00AE2388">
          <w:rPr>
            <w:rStyle w:val="Hyperlink"/>
            <w:color w:val="000000" w:themeColor="text1"/>
            <w:u w:val="none"/>
          </w:rPr>
          <w:t>https://doi.org/10.1038/d41586-018-07474-y.</w:t>
        </w:r>
      </w:hyperlink>
    </w:p>
  </w:footnote>
  <w:footnote w:id="78">
    <w:p w14:paraId="19543D10" w14:textId="5EEAC8F1" w:rsidR="00AE2388" w:rsidRPr="00AE2388" w:rsidRDefault="00AE2388">
      <w:pPr>
        <w:pStyle w:val="FootnoteText"/>
        <w:rPr>
          <w:color w:val="000000" w:themeColor="text1"/>
        </w:rPr>
      </w:pPr>
      <w:r w:rsidRPr="00AE2388">
        <w:rPr>
          <w:rStyle w:val="FootnoteReference"/>
          <w:color w:val="000000" w:themeColor="text1"/>
        </w:rPr>
        <w:footnoteRef/>
      </w:r>
      <w:r w:rsidRPr="00AE2388">
        <w:rPr>
          <w:color w:val="000000" w:themeColor="text1"/>
        </w:rPr>
        <w:t xml:space="preserve"> </w:t>
      </w:r>
      <w:r w:rsidRPr="00AE2388">
        <w:rPr>
          <w:rFonts w:ascii="Times New Roman" w:hAnsi="Times New Roman"/>
          <w:color w:val="000000" w:themeColor="text1"/>
        </w:rPr>
        <w:t>Marta Serra-Garcia and Uri Gneezy, “Nonreplicable Publications Are Cited More Than Replicable Ones,” Science Advances</w:t>
      </w:r>
      <w:r w:rsidRPr="00AE2388">
        <w:rPr>
          <w:rFonts w:ascii="Times New Roman" w:hAnsi="Times New Roman"/>
          <w:color w:val="000000" w:themeColor="text1"/>
          <w:spacing w:val="40"/>
        </w:rPr>
        <w:t xml:space="preserve"> </w:t>
      </w:r>
      <w:r w:rsidRPr="00AE2388">
        <w:rPr>
          <w:rFonts w:ascii="Times New Roman" w:hAnsi="Times New Roman"/>
          <w:color w:val="000000" w:themeColor="text1"/>
        </w:rPr>
        <w:t>(21</w:t>
      </w:r>
      <w:r w:rsidRPr="00AE2388">
        <w:rPr>
          <w:rFonts w:ascii="Times New Roman" w:hAnsi="Times New Roman"/>
          <w:color w:val="000000" w:themeColor="text1"/>
          <w:spacing w:val="40"/>
        </w:rPr>
        <w:t xml:space="preserve"> </w:t>
      </w:r>
      <w:r w:rsidRPr="00AE2388">
        <w:rPr>
          <w:rFonts w:ascii="Times New Roman" w:hAnsi="Times New Roman"/>
          <w:color w:val="000000" w:themeColor="text1"/>
        </w:rPr>
        <w:t>May</w:t>
      </w:r>
      <w:r w:rsidRPr="00AE2388">
        <w:rPr>
          <w:rFonts w:ascii="Times New Roman" w:hAnsi="Times New Roman"/>
          <w:color w:val="000000" w:themeColor="text1"/>
          <w:spacing w:val="40"/>
        </w:rPr>
        <w:t xml:space="preserve"> </w:t>
      </w:r>
      <w:r w:rsidRPr="00AE2388">
        <w:rPr>
          <w:rFonts w:ascii="Times New Roman" w:hAnsi="Times New Roman"/>
          <w:color w:val="000000" w:themeColor="text1"/>
        </w:rPr>
        <w:t>2021):</w:t>
      </w:r>
      <w:r w:rsidRPr="00AE2388">
        <w:rPr>
          <w:rFonts w:ascii="Times New Roman" w:hAnsi="Times New Roman"/>
          <w:color w:val="000000" w:themeColor="text1"/>
          <w:spacing w:val="40"/>
        </w:rPr>
        <w:t xml:space="preserve"> </w:t>
      </w:r>
      <w:r w:rsidRPr="00AE2388">
        <w:rPr>
          <w:rFonts w:ascii="Times New Roman" w:hAnsi="Times New Roman"/>
          <w:color w:val="000000" w:themeColor="text1"/>
        </w:rPr>
        <w:t>7,</w:t>
      </w:r>
      <w:r w:rsidRPr="00AE2388">
        <w:rPr>
          <w:rFonts w:ascii="Times New Roman" w:hAnsi="Times New Roman"/>
          <w:color w:val="000000" w:themeColor="text1"/>
          <w:spacing w:val="40"/>
        </w:rPr>
        <w:t xml:space="preserve"> </w:t>
      </w:r>
      <w:r w:rsidRPr="00AE2388">
        <w:rPr>
          <w:rFonts w:ascii="Times New Roman" w:hAnsi="Times New Roman"/>
          <w:color w:val="000000" w:themeColor="text1"/>
        </w:rPr>
        <w:t>no.</w:t>
      </w:r>
      <w:r w:rsidRPr="00AE2388">
        <w:rPr>
          <w:rFonts w:ascii="Times New Roman" w:hAnsi="Times New Roman"/>
          <w:color w:val="000000" w:themeColor="text1"/>
          <w:spacing w:val="40"/>
        </w:rPr>
        <w:t xml:space="preserve"> </w:t>
      </w:r>
      <w:r w:rsidRPr="00AE2388">
        <w:rPr>
          <w:rFonts w:ascii="Times New Roman" w:hAnsi="Times New Roman"/>
          <w:color w:val="000000" w:themeColor="text1"/>
        </w:rPr>
        <w:t>21,</w:t>
      </w:r>
      <w:r w:rsidRPr="00AE2388">
        <w:rPr>
          <w:rFonts w:ascii="Times New Roman" w:hAnsi="Times New Roman"/>
          <w:color w:val="000000" w:themeColor="text1"/>
          <w:spacing w:val="40"/>
        </w:rPr>
        <w:t xml:space="preserve"> </w:t>
      </w:r>
      <w:r w:rsidRPr="00AE2388">
        <w:rPr>
          <w:rFonts w:ascii="Times New Roman" w:hAnsi="Times New Roman"/>
          <w:color w:val="000000" w:themeColor="text1"/>
        </w:rPr>
        <w:t>eabd1705,</w:t>
      </w:r>
      <w:r w:rsidRPr="00AE2388">
        <w:rPr>
          <w:rFonts w:ascii="Times New Roman" w:hAnsi="Times New Roman"/>
          <w:color w:val="000000" w:themeColor="text1"/>
          <w:spacing w:val="40"/>
        </w:rPr>
        <w:t xml:space="preserve"> </w:t>
      </w:r>
      <w:hyperlink r:id="rId11">
        <w:r w:rsidRPr="00AE2388">
          <w:rPr>
            <w:rFonts w:ascii="Times New Roman" w:hAnsi="Times New Roman"/>
            <w:color w:val="000000" w:themeColor="text1"/>
          </w:rPr>
          <w:t>https://doi.org/10.1126/sciadv.abd1705.</w:t>
        </w:r>
      </w:hyperlink>
    </w:p>
  </w:footnote>
  <w:footnote w:id="79">
    <w:p w14:paraId="0D8EC54A" w14:textId="1C84935F" w:rsidR="00AE2388" w:rsidRPr="00AE2388" w:rsidRDefault="00AE2388">
      <w:pPr>
        <w:pStyle w:val="FootnoteText"/>
        <w:rPr>
          <w:color w:val="000000" w:themeColor="text1"/>
        </w:rPr>
      </w:pPr>
      <w:r w:rsidRPr="00AE2388">
        <w:rPr>
          <w:rStyle w:val="FootnoteReference"/>
          <w:color w:val="000000" w:themeColor="text1"/>
        </w:rPr>
        <w:footnoteRef/>
      </w:r>
      <w:r w:rsidRPr="00AE2388">
        <w:rPr>
          <w:color w:val="000000" w:themeColor="text1"/>
        </w:rPr>
        <w:t xml:space="preserve"> </w:t>
      </w:r>
      <w:r w:rsidRPr="00AE2388">
        <w:rPr>
          <w:color w:val="000000" w:themeColor="text1"/>
        </w:rPr>
        <w:t xml:space="preserve">John M. Grohol, “Psychology Secrets: Most Psychology Studies Are College Student Biased,” </w:t>
      </w:r>
      <w:r w:rsidRPr="00AE2388">
        <w:rPr>
          <w:i/>
          <w:color w:val="000000" w:themeColor="text1"/>
        </w:rPr>
        <w:t>PsychCentral</w:t>
      </w:r>
      <w:r w:rsidRPr="00AE2388">
        <w:rPr>
          <w:color w:val="000000" w:themeColor="text1"/>
        </w:rPr>
        <w:t xml:space="preserve">, August 26,  2010,  </w:t>
      </w:r>
      <w:hyperlink r:id="rId12">
        <w:r w:rsidRPr="00AE2388">
          <w:rPr>
            <w:rStyle w:val="Hyperlink"/>
            <w:color w:val="000000" w:themeColor="text1"/>
            <w:u w:val="none"/>
          </w:rPr>
          <w:t>https://psychcentral.com/blog/psychology-secrets-most-psychology-studies-are-college-student-biased/.</w:t>
        </w:r>
      </w:hyperlink>
    </w:p>
  </w:footnote>
  <w:footnote w:id="80">
    <w:p w14:paraId="5BD1F9C4" w14:textId="1B1E9A95" w:rsidR="00AE2388" w:rsidRPr="005A5095" w:rsidRDefault="00AE2388">
      <w:pPr>
        <w:pStyle w:val="FootnoteText"/>
        <w:rPr>
          <w:color w:val="000000" w:themeColor="text1"/>
        </w:rPr>
      </w:pPr>
      <w:r w:rsidRPr="005A5095">
        <w:rPr>
          <w:rStyle w:val="FootnoteReference"/>
          <w:color w:val="000000" w:themeColor="text1"/>
        </w:rPr>
        <w:footnoteRef/>
      </w:r>
      <w:r w:rsidRPr="005A5095">
        <w:rPr>
          <w:color w:val="000000" w:themeColor="text1"/>
        </w:rPr>
        <w:t xml:space="preserve"> </w:t>
      </w:r>
      <w:r w:rsidRPr="005A5095">
        <w:rPr>
          <w:color w:val="000000" w:themeColor="text1"/>
        </w:rPr>
        <w:t xml:space="preserve">Joseph Henrich, Steven J. Heine, and Ara Norenzayan, “The WEIRDest People in the World?” </w:t>
      </w:r>
      <w:r w:rsidRPr="005A5095">
        <w:rPr>
          <w:i/>
          <w:color w:val="000000" w:themeColor="text1"/>
        </w:rPr>
        <w:t xml:space="preserve">Behavioral and Brain Sciences </w:t>
      </w:r>
      <w:r w:rsidRPr="005A5095">
        <w:rPr>
          <w:color w:val="000000" w:themeColor="text1"/>
        </w:rPr>
        <w:t xml:space="preserve">33 (2010): 61-83, </w:t>
      </w:r>
      <w:hyperlink r:id="rId13">
        <w:r w:rsidRPr="005A5095">
          <w:rPr>
            <w:rStyle w:val="Hyperlink"/>
            <w:color w:val="000000" w:themeColor="text1"/>
            <w:u w:val="none"/>
          </w:rPr>
          <w:t>https://doi.org/10.1017/S0140525X0999152X.</w:t>
        </w:r>
      </w:hyperlink>
    </w:p>
  </w:footnote>
  <w:footnote w:id="81">
    <w:p w14:paraId="4A7060C2" w14:textId="75784140" w:rsidR="00AE2388" w:rsidRDefault="00AE2388">
      <w:pPr>
        <w:pStyle w:val="FootnoteText"/>
      </w:pPr>
      <w:r w:rsidRPr="005A5095">
        <w:rPr>
          <w:rStyle w:val="FootnoteReference"/>
          <w:color w:val="000000" w:themeColor="text1"/>
        </w:rPr>
        <w:footnoteRef/>
      </w:r>
      <w:r w:rsidRPr="005A5095">
        <w:rPr>
          <w:color w:val="000000" w:themeColor="text1"/>
        </w:rPr>
        <w:t xml:space="preserve"> </w:t>
      </w:r>
      <w:r w:rsidRPr="005A5095">
        <w:rPr>
          <w:color w:val="000000" w:themeColor="text1"/>
        </w:rPr>
        <w:t xml:space="preserve">Angela Walmsley and Michael C. Brown, “What Is Power?” </w:t>
      </w:r>
      <w:r w:rsidRPr="005A5095">
        <w:rPr>
          <w:i/>
          <w:color w:val="000000" w:themeColor="text1"/>
        </w:rPr>
        <w:t xml:space="preserve">Statistics Teacher, </w:t>
      </w:r>
      <w:r w:rsidRPr="005A5095">
        <w:rPr>
          <w:color w:val="000000" w:themeColor="text1"/>
        </w:rPr>
        <w:t xml:space="preserve">September 15, 2017, </w:t>
      </w:r>
      <w:hyperlink r:id="rId14">
        <w:r w:rsidRPr="005A5095">
          <w:rPr>
            <w:rStyle w:val="Hyperlink"/>
            <w:color w:val="000000" w:themeColor="text1"/>
            <w:u w:val="none"/>
          </w:rPr>
          <w:t>https://www.</w:t>
        </w:r>
      </w:hyperlink>
      <w:r w:rsidRPr="005A5095">
        <w:rPr>
          <w:color w:val="000000" w:themeColor="text1"/>
        </w:rPr>
        <w:t xml:space="preserve"> statisticsteacher.org/2017/09/15/what-is-power/. Effect Size: “In a study or experiment with two groups (usually control and </w:t>
      </w:r>
      <w:r w:rsidRPr="00AE2388">
        <w:t>treatment), the investigator typically has in mind the magnitude of the difference b</w:t>
      </w:r>
      <w:r w:rsidRPr="00AE2388">
        <w:rPr>
          <w:color w:val="000000" w:themeColor="text1"/>
        </w:rPr>
        <w:t xml:space="preserve">etween the two groups that he or she wants to be able to detect in a hypothesis test. This magnitude is the effect size. Sample sizes are then chosen so that the probability of detecting this effect size, if it exists, is high. Too small a sample, and the effect may go unnoticed because it is not distinguishable from random variation. Too large a sample may guarantee detecting the effect, if it exists, but wastes resources.” Statistics.com, “Effect Size,” (accessed June 5, 2021), </w:t>
      </w:r>
      <w:hyperlink r:id="rId15">
        <w:r w:rsidRPr="00AE2388">
          <w:rPr>
            <w:rStyle w:val="Hyperlink"/>
            <w:color w:val="000000" w:themeColor="text1"/>
            <w:u w:val="none"/>
          </w:rPr>
          <w:t>https://www.statistics.com/glossary/effect-size/.</w:t>
        </w:r>
      </w:hyperlink>
    </w:p>
  </w:footnote>
  <w:footnote w:id="82">
    <w:p w14:paraId="5A1D527C" w14:textId="603F3F9D" w:rsidR="00FD0081" w:rsidRPr="00FD0081" w:rsidRDefault="00FD0081">
      <w:pPr>
        <w:pStyle w:val="FootnoteText"/>
        <w:rPr>
          <w:color w:val="000000" w:themeColor="text1"/>
        </w:rPr>
      </w:pPr>
      <w:r w:rsidRPr="00FD0081">
        <w:rPr>
          <w:rStyle w:val="FootnoteReference"/>
          <w:color w:val="000000" w:themeColor="text1"/>
        </w:rPr>
        <w:footnoteRef/>
      </w:r>
      <w:r w:rsidRPr="00FD0081">
        <w:rPr>
          <w:color w:val="000000" w:themeColor="text1"/>
        </w:rPr>
        <w:t xml:space="preserve"> </w:t>
      </w:r>
      <w:r w:rsidRPr="00FD0081">
        <w:rPr>
          <w:color w:val="000000" w:themeColor="text1"/>
        </w:rPr>
        <w:t>Center for Open Science, The Hypothetico-Deductive Model.</w:t>
      </w:r>
    </w:p>
  </w:footnote>
  <w:footnote w:id="83">
    <w:p w14:paraId="027EE7B0" w14:textId="4507E3DE" w:rsidR="00FD0081" w:rsidRPr="00FD0081" w:rsidRDefault="00FD0081">
      <w:pPr>
        <w:pStyle w:val="FootnoteText"/>
        <w:rPr>
          <w:color w:val="000000" w:themeColor="text1"/>
        </w:rPr>
      </w:pPr>
      <w:r w:rsidRPr="00FD0081">
        <w:rPr>
          <w:rStyle w:val="FootnoteReference"/>
          <w:color w:val="000000" w:themeColor="text1"/>
        </w:rPr>
        <w:footnoteRef/>
      </w:r>
      <w:r w:rsidRPr="00FD0081">
        <w:rPr>
          <w:color w:val="000000" w:themeColor="text1"/>
        </w:rPr>
        <w:t xml:space="preserve"> </w:t>
      </w:r>
      <w:r w:rsidRPr="00FD0081">
        <w:rPr>
          <w:color w:val="000000" w:themeColor="text1"/>
        </w:rPr>
        <w:t xml:space="preserve">John Cohen “The Statistical Power of Abnormal Social Psychological Research: A Review,” </w:t>
      </w:r>
      <w:r w:rsidRPr="00FD0081">
        <w:rPr>
          <w:i/>
          <w:color w:val="000000" w:themeColor="text1"/>
        </w:rPr>
        <w:t xml:space="preserve">The Journal of Abnormal and Social Psychology </w:t>
      </w:r>
      <w:r w:rsidRPr="00FD0081">
        <w:rPr>
          <w:color w:val="000000" w:themeColor="text1"/>
        </w:rPr>
        <w:t xml:space="preserve">65, no. 3 (1962): 145-153. </w:t>
      </w:r>
      <w:hyperlink r:id="rId16">
        <w:r w:rsidRPr="00FD0081">
          <w:rPr>
            <w:rStyle w:val="Hyperlink"/>
            <w:color w:val="000000" w:themeColor="text1"/>
            <w:u w:val="none"/>
          </w:rPr>
          <w:t>https://doi.org/10.1037/h0045186.</w:t>
        </w:r>
      </w:hyperlink>
    </w:p>
  </w:footnote>
  <w:footnote w:id="84">
    <w:p w14:paraId="4A3BD7C7" w14:textId="360943B7" w:rsidR="00FD0081" w:rsidRPr="00FD0081" w:rsidRDefault="00FD0081">
      <w:pPr>
        <w:pStyle w:val="FootnoteText"/>
        <w:rPr>
          <w:color w:val="000000" w:themeColor="text1"/>
        </w:rPr>
      </w:pPr>
      <w:r w:rsidRPr="00FD0081">
        <w:rPr>
          <w:rStyle w:val="FootnoteReference"/>
          <w:color w:val="000000" w:themeColor="text1"/>
        </w:rPr>
        <w:footnoteRef/>
      </w:r>
      <w:r w:rsidRPr="00FD0081">
        <w:rPr>
          <w:color w:val="000000" w:themeColor="text1"/>
        </w:rPr>
        <w:t xml:space="preserve"> </w:t>
      </w:r>
      <w:r w:rsidRPr="00FD0081">
        <w:rPr>
          <w:color w:val="000000" w:themeColor="text1"/>
        </w:rPr>
        <w:t xml:space="preserve">Peter Sedlmeier and Greg Gigerenzer, “Do Studies of Statistical Power Have an Effect on The Power of Studies?” </w:t>
      </w:r>
      <w:r w:rsidRPr="00FD0081">
        <w:rPr>
          <w:i/>
          <w:color w:val="000000" w:themeColor="text1"/>
        </w:rPr>
        <w:t xml:space="preserve">Psychological Bulletin </w:t>
      </w:r>
      <w:r w:rsidRPr="00FD0081">
        <w:rPr>
          <w:color w:val="000000" w:themeColor="text1"/>
        </w:rPr>
        <w:t xml:space="preserve">105, no. 2 (1989): 309–316, </w:t>
      </w:r>
      <w:hyperlink r:id="rId17">
        <w:r w:rsidRPr="00FD0081">
          <w:rPr>
            <w:rStyle w:val="Hyperlink"/>
            <w:color w:val="000000" w:themeColor="text1"/>
            <w:u w:val="none"/>
          </w:rPr>
          <w:t>https://doi.org/10.1037/0033-2909.105.2.309.</w:t>
        </w:r>
      </w:hyperlink>
    </w:p>
  </w:footnote>
  <w:footnote w:id="85">
    <w:p w14:paraId="60239516" w14:textId="22C62DF0" w:rsidR="00FD0081" w:rsidRPr="00FD0081" w:rsidRDefault="00FD0081">
      <w:pPr>
        <w:pStyle w:val="FootnoteText"/>
        <w:rPr>
          <w:color w:val="000000" w:themeColor="text1"/>
        </w:rPr>
      </w:pPr>
      <w:r w:rsidRPr="00FD0081">
        <w:rPr>
          <w:rStyle w:val="FootnoteReference"/>
          <w:color w:val="000000" w:themeColor="text1"/>
        </w:rPr>
        <w:footnoteRef/>
      </w:r>
      <w:r w:rsidRPr="00FD0081">
        <w:rPr>
          <w:color w:val="000000" w:themeColor="text1"/>
        </w:rPr>
        <w:t xml:space="preserve"> </w:t>
      </w:r>
      <w:r w:rsidRPr="00FD0081">
        <w:rPr>
          <w:color w:val="000000" w:themeColor="text1"/>
        </w:rPr>
        <w:t xml:space="preserve">Scott Bezeau and Roger Graves, “Statistical Power and Effect Sizes of Clinical Neuropsychology Research,” </w:t>
      </w:r>
      <w:r w:rsidRPr="00FD0081">
        <w:rPr>
          <w:i/>
          <w:color w:val="000000" w:themeColor="text1"/>
        </w:rPr>
        <w:t xml:space="preserve">Journal of Clinical and Experimental Neuropsychology </w:t>
      </w:r>
      <w:r w:rsidRPr="00FD0081">
        <w:rPr>
          <w:color w:val="000000" w:themeColor="text1"/>
        </w:rPr>
        <w:t xml:space="preserve">23, no. 3 (2001): 399-406, </w:t>
      </w:r>
      <w:hyperlink r:id="rId18">
        <w:r w:rsidRPr="00FD0081">
          <w:rPr>
            <w:rStyle w:val="Hyperlink"/>
            <w:color w:val="000000" w:themeColor="text1"/>
            <w:u w:val="none"/>
          </w:rPr>
          <w:t>https://doi.org/10.1076/jcen.23.3.399.1181.</w:t>
        </w:r>
      </w:hyperlink>
    </w:p>
  </w:footnote>
  <w:footnote w:id="86">
    <w:p w14:paraId="10C0578A" w14:textId="1E9CEAAC" w:rsidR="00FD0081" w:rsidRDefault="00FD0081">
      <w:pPr>
        <w:pStyle w:val="FootnoteText"/>
      </w:pPr>
      <w:r>
        <w:rPr>
          <w:rStyle w:val="FootnoteReference"/>
        </w:rPr>
        <w:footnoteRef/>
      </w:r>
      <w:r>
        <w:t xml:space="preserve"> </w:t>
      </w:r>
      <w:r w:rsidRPr="00FD0081">
        <w:t xml:space="preserve">Ritchie, </w:t>
      </w:r>
      <w:r w:rsidRPr="00FD0081">
        <w:rPr>
          <w:i/>
        </w:rPr>
        <w:t>Science Fictions</w:t>
      </w:r>
      <w:r w:rsidRPr="00FD0081">
        <w:t xml:space="preserve">, 284. Or simply, a </w:t>
      </w:r>
      <w:r w:rsidRPr="00FD0081">
        <w:rPr>
          <w:i/>
        </w:rPr>
        <w:t>p</w:t>
      </w:r>
      <w:r w:rsidRPr="00FD0081">
        <w:t>-value is the significance level in a hypothesis test.</w:t>
      </w:r>
    </w:p>
  </w:footnote>
  <w:footnote w:id="87">
    <w:p w14:paraId="74024942" w14:textId="7F791ADF" w:rsidR="00FD0081" w:rsidRDefault="00FD0081">
      <w:pPr>
        <w:pStyle w:val="FootnoteText"/>
      </w:pPr>
      <w:r>
        <w:rPr>
          <w:rStyle w:val="FootnoteReference"/>
        </w:rPr>
        <w:footnoteRef/>
      </w:r>
      <w:r>
        <w:t xml:space="preserve"> </w:t>
      </w:r>
      <w:r w:rsidRPr="00FD0081">
        <w:t xml:space="preserve">Which theoretically allows up to one in 20 false rejections of the null hypothesis across a set of independent significance tests.” Ritchie, </w:t>
      </w:r>
      <w:r w:rsidRPr="00FD0081">
        <w:rPr>
          <w:i/>
        </w:rPr>
        <w:t xml:space="preserve">Science Fictions, </w:t>
      </w:r>
      <w:r w:rsidRPr="00FD0081">
        <w:t>90. Also, p &lt; 0.01 – strong, p &lt; 0.001 – very strong.</w:t>
      </w:r>
    </w:p>
  </w:footnote>
  <w:footnote w:id="88">
    <w:p w14:paraId="366C3C8F" w14:textId="78A05B52" w:rsidR="00FD0081" w:rsidRDefault="00FD0081">
      <w:pPr>
        <w:pStyle w:val="FootnoteText"/>
      </w:pPr>
      <w:r>
        <w:rPr>
          <w:rStyle w:val="FootnoteReference"/>
        </w:rPr>
        <w:footnoteRef/>
      </w:r>
      <w:r>
        <w:t xml:space="preserve"> </w:t>
      </w:r>
      <w:r w:rsidRPr="00FD0081">
        <w:t xml:space="preserve">Ritchie, </w:t>
      </w:r>
      <w:r w:rsidRPr="00FD0081">
        <w:rPr>
          <w:i/>
        </w:rPr>
        <w:t>Science Fictions</w:t>
      </w:r>
      <w:r w:rsidRPr="00FD0081">
        <w:t>, 90.</w:t>
      </w:r>
    </w:p>
  </w:footnote>
  <w:footnote w:id="89">
    <w:p w14:paraId="3FA8BCB7" w14:textId="47718401" w:rsidR="006A40A3" w:rsidRPr="006A40A3" w:rsidRDefault="006A40A3">
      <w:pPr>
        <w:pStyle w:val="FootnoteText"/>
      </w:pPr>
      <w:r>
        <w:rPr>
          <w:rStyle w:val="FootnoteReference"/>
        </w:rPr>
        <w:footnoteRef/>
      </w:r>
      <w:r>
        <w:t xml:space="preserve"> </w:t>
      </w:r>
      <w:r w:rsidRPr="006A40A3">
        <w:t xml:space="preserve">Chambers, </w:t>
      </w:r>
      <w:r w:rsidRPr="006A40A3">
        <w:rPr>
          <w:i/>
        </w:rPr>
        <w:t xml:space="preserve">Seven Deadly Sins of Psychology, </w:t>
      </w:r>
      <w:r w:rsidRPr="006A40A3">
        <w:t>22.</w:t>
      </w:r>
    </w:p>
  </w:footnote>
  <w:footnote w:id="90">
    <w:p w14:paraId="27F23B48" w14:textId="77777777" w:rsidR="006A40A3" w:rsidRPr="006A40A3" w:rsidRDefault="006A40A3" w:rsidP="006A40A3">
      <w:pPr>
        <w:pStyle w:val="FootnoteText"/>
        <w:rPr>
          <w:color w:val="000000" w:themeColor="text1"/>
        </w:rPr>
      </w:pPr>
      <w:r w:rsidRPr="006A40A3">
        <w:rPr>
          <w:rStyle w:val="FootnoteReference"/>
          <w:color w:val="000000" w:themeColor="text1"/>
        </w:rPr>
        <w:footnoteRef/>
      </w:r>
      <w:r w:rsidRPr="006A40A3">
        <w:rPr>
          <w:color w:val="000000" w:themeColor="text1"/>
        </w:rPr>
        <w:t xml:space="preserve"> </w:t>
      </w:r>
      <w:r w:rsidRPr="006A40A3">
        <w:rPr>
          <w:color w:val="000000" w:themeColor="text1"/>
        </w:rPr>
        <w:t xml:space="preserve">Joseph P. Simmons, Leif D. Nelson, and Uri Simonsohn, “False-Positive Psychology: Undisclosed Flexibility in Data Collection and Analysis Allows Presenting Anything as Significant,” </w:t>
      </w:r>
      <w:r w:rsidRPr="006A40A3">
        <w:rPr>
          <w:i/>
          <w:color w:val="000000" w:themeColor="text1"/>
        </w:rPr>
        <w:t xml:space="preserve">Psychological Science </w:t>
      </w:r>
      <w:r w:rsidRPr="006A40A3">
        <w:rPr>
          <w:color w:val="000000" w:themeColor="text1"/>
        </w:rPr>
        <w:t xml:space="preserve">22, no. 11 (Nov 2011): 1359-1366, </w:t>
      </w:r>
      <w:hyperlink r:id="rId19">
        <w:r w:rsidRPr="006A40A3">
          <w:rPr>
            <w:rStyle w:val="Hyperlink"/>
            <w:color w:val="000000" w:themeColor="text1"/>
            <w:u w:val="none"/>
          </w:rPr>
          <w:t>https://doi.org/10.1177/0956797611417632.</w:t>
        </w:r>
      </w:hyperlink>
    </w:p>
    <w:p w14:paraId="7BD8CC84" w14:textId="12D8F939" w:rsidR="006A40A3" w:rsidRDefault="006A40A3">
      <w:pPr>
        <w:pStyle w:val="FootnoteText"/>
      </w:pPr>
    </w:p>
  </w:footnote>
  <w:footnote w:id="91">
    <w:p w14:paraId="61B47F4A" w14:textId="01FABAE0" w:rsidR="006A40A3" w:rsidRPr="006A40A3" w:rsidRDefault="006A40A3">
      <w:pPr>
        <w:pStyle w:val="FootnoteText"/>
        <w:rPr>
          <w:color w:val="000000" w:themeColor="text1"/>
        </w:rPr>
      </w:pPr>
      <w:r>
        <w:rPr>
          <w:rStyle w:val="FootnoteReference"/>
        </w:rPr>
        <w:footnoteRef/>
      </w:r>
      <w:r>
        <w:t xml:space="preserve"> </w:t>
      </w:r>
      <w:r w:rsidRPr="006A40A3">
        <w:t xml:space="preserve">For a humorous take on this, see Harvey Motulsky, “Common Misconceptions about Data Analysis and Statistics Commentary,” British Journal of </w:t>
      </w:r>
      <w:r w:rsidRPr="006A40A3">
        <w:rPr>
          <w:color w:val="000000" w:themeColor="text1"/>
        </w:rPr>
        <w:t>Pharmacology 3 no. 1 (Aug 2014): 2126-2132, https://doi.org/10.1111/bph.12884.</w:t>
      </w:r>
    </w:p>
  </w:footnote>
  <w:footnote w:id="92">
    <w:p w14:paraId="2AEBB929" w14:textId="77777777" w:rsidR="006A40A3" w:rsidRPr="006A40A3" w:rsidRDefault="006A40A3" w:rsidP="006A40A3">
      <w:pPr>
        <w:pStyle w:val="FootnoteText"/>
        <w:rPr>
          <w:color w:val="000000" w:themeColor="text1"/>
        </w:rPr>
      </w:pPr>
      <w:r w:rsidRPr="006A40A3">
        <w:rPr>
          <w:rStyle w:val="FootnoteReference"/>
          <w:color w:val="000000" w:themeColor="text1"/>
        </w:rPr>
        <w:footnoteRef/>
      </w:r>
      <w:r w:rsidRPr="006A40A3">
        <w:rPr>
          <w:color w:val="000000" w:themeColor="text1"/>
        </w:rPr>
        <w:t xml:space="preserve"> </w:t>
      </w:r>
      <w:r w:rsidRPr="006A40A3">
        <w:rPr>
          <w:color w:val="000000" w:themeColor="text1"/>
        </w:rPr>
        <w:t xml:space="preserve">Leslie K. John, George Loewenstein, and Drazen Prelec, “Measuring the Prevalence of Questionable Research Practices with Incentives for Truth Telling,” </w:t>
      </w:r>
      <w:r w:rsidRPr="006A40A3">
        <w:rPr>
          <w:i/>
          <w:color w:val="000000" w:themeColor="text1"/>
        </w:rPr>
        <w:t xml:space="preserve">Psychological Science </w:t>
      </w:r>
      <w:r w:rsidRPr="006A40A3">
        <w:rPr>
          <w:color w:val="000000" w:themeColor="text1"/>
        </w:rPr>
        <w:t xml:space="preserve">23 (2012): 524-532, </w:t>
      </w:r>
      <w:hyperlink r:id="rId20">
        <w:r w:rsidRPr="006A40A3">
          <w:rPr>
            <w:rStyle w:val="Hyperlink"/>
            <w:color w:val="000000" w:themeColor="text1"/>
            <w:u w:val="none"/>
          </w:rPr>
          <w:t>https://doi.</w:t>
        </w:r>
      </w:hyperlink>
    </w:p>
    <w:p w14:paraId="64E97E7B" w14:textId="7418DA1B" w:rsidR="006A40A3" w:rsidRPr="009B0DA5" w:rsidRDefault="006A40A3">
      <w:pPr>
        <w:pStyle w:val="FootnoteText"/>
        <w:rPr>
          <w:color w:val="000000" w:themeColor="text1"/>
        </w:rPr>
      </w:pPr>
      <w:r w:rsidRPr="006A40A3">
        <w:rPr>
          <w:color w:val="000000" w:themeColor="text1"/>
        </w:rPr>
        <w:t>org/10.1177/0956797611430953. There can be legitimate reasons for dropping data points and trying different statistical tests.</w:t>
      </w:r>
    </w:p>
  </w:footnote>
  <w:footnote w:id="93">
    <w:p w14:paraId="568B5585" w14:textId="4B4A558A" w:rsidR="009B0DA5" w:rsidRDefault="009B0DA5">
      <w:pPr>
        <w:pStyle w:val="FootnoteText"/>
      </w:pPr>
      <w:r>
        <w:rPr>
          <w:rStyle w:val="FootnoteReference"/>
        </w:rPr>
        <w:footnoteRef/>
      </w:r>
      <w:r>
        <w:t xml:space="preserve"> </w:t>
      </w:r>
      <w:r w:rsidRPr="009B0DA5">
        <w:t xml:space="preserve">Chambers, </w:t>
      </w:r>
      <w:r w:rsidRPr="009B0DA5">
        <w:rPr>
          <w:i/>
        </w:rPr>
        <w:t>Seven Deadly Sins of Psychology</w:t>
      </w:r>
      <w:r w:rsidRPr="009B0DA5">
        <w:t>, 18.</w:t>
      </w:r>
    </w:p>
  </w:footnote>
  <w:footnote w:id="94">
    <w:p w14:paraId="6A24194D" w14:textId="630B41EC" w:rsidR="009B0DA5" w:rsidRDefault="009B0DA5">
      <w:pPr>
        <w:pStyle w:val="FootnoteText"/>
      </w:pPr>
      <w:r>
        <w:rPr>
          <w:rStyle w:val="FootnoteReference"/>
        </w:rPr>
        <w:footnoteRef/>
      </w:r>
      <w:r>
        <w:t xml:space="preserve"> </w:t>
      </w:r>
      <w:r>
        <w:rPr>
          <w:rFonts w:ascii="Times New Roman" w:hAnsi="Times New Roman"/>
          <w:color w:val="231F20"/>
        </w:rPr>
        <w:t>Norbert</w:t>
      </w:r>
      <w:r>
        <w:rPr>
          <w:rFonts w:ascii="Times New Roman" w:hAnsi="Times New Roman"/>
          <w:color w:val="231F20"/>
          <w:spacing w:val="21"/>
        </w:rPr>
        <w:t xml:space="preserve"> </w:t>
      </w:r>
      <w:r>
        <w:rPr>
          <w:rFonts w:ascii="Times New Roman" w:hAnsi="Times New Roman"/>
          <w:color w:val="231F20"/>
        </w:rPr>
        <w:t>Kerr,</w:t>
      </w:r>
      <w:r>
        <w:rPr>
          <w:rFonts w:ascii="Times New Roman" w:hAnsi="Times New Roman"/>
          <w:color w:val="231F20"/>
          <w:spacing w:val="21"/>
        </w:rPr>
        <w:t xml:space="preserve"> </w:t>
      </w:r>
      <w:r>
        <w:rPr>
          <w:rFonts w:ascii="Times New Roman" w:hAnsi="Times New Roman"/>
          <w:color w:val="231F20"/>
        </w:rPr>
        <w:t>“HARKing:</w:t>
      </w:r>
      <w:r>
        <w:rPr>
          <w:rFonts w:ascii="Times New Roman" w:hAnsi="Times New Roman"/>
          <w:color w:val="231F20"/>
          <w:spacing w:val="21"/>
        </w:rPr>
        <w:t xml:space="preserve"> </w:t>
      </w:r>
      <w:r>
        <w:rPr>
          <w:rFonts w:ascii="Times New Roman" w:hAnsi="Times New Roman"/>
          <w:color w:val="231F20"/>
        </w:rPr>
        <w:t>Hypothesizing After</w:t>
      </w:r>
      <w:r>
        <w:rPr>
          <w:rFonts w:ascii="Times New Roman" w:hAnsi="Times New Roman"/>
          <w:color w:val="231F20"/>
          <w:spacing w:val="21"/>
        </w:rPr>
        <w:t xml:space="preserve"> </w:t>
      </w:r>
      <w:r>
        <w:rPr>
          <w:rFonts w:ascii="Times New Roman" w:hAnsi="Times New Roman"/>
          <w:color w:val="231F20"/>
        </w:rPr>
        <w:t>the</w:t>
      </w:r>
      <w:r>
        <w:rPr>
          <w:rFonts w:ascii="Times New Roman" w:hAnsi="Times New Roman"/>
          <w:color w:val="231F20"/>
          <w:spacing w:val="21"/>
        </w:rPr>
        <w:t xml:space="preserve"> </w:t>
      </w:r>
      <w:r>
        <w:rPr>
          <w:rFonts w:ascii="Times New Roman" w:hAnsi="Times New Roman"/>
          <w:color w:val="231F20"/>
        </w:rPr>
        <w:t>Results</w:t>
      </w:r>
      <w:r>
        <w:rPr>
          <w:rFonts w:ascii="Times New Roman" w:hAnsi="Times New Roman"/>
          <w:color w:val="231F20"/>
          <w:spacing w:val="20"/>
        </w:rPr>
        <w:t xml:space="preserve"> </w:t>
      </w:r>
      <w:r>
        <w:rPr>
          <w:rFonts w:ascii="Times New Roman" w:hAnsi="Times New Roman"/>
          <w:color w:val="231F20"/>
        </w:rPr>
        <w:t>are</w:t>
      </w:r>
      <w:r>
        <w:rPr>
          <w:rFonts w:ascii="Times New Roman" w:hAnsi="Times New Roman"/>
          <w:color w:val="231F20"/>
          <w:spacing w:val="21"/>
        </w:rPr>
        <w:t xml:space="preserve"> </w:t>
      </w:r>
      <w:r>
        <w:rPr>
          <w:rFonts w:ascii="Times New Roman" w:hAnsi="Times New Roman"/>
          <w:color w:val="231F20"/>
        </w:rPr>
        <w:t>Known,”</w:t>
      </w:r>
      <w:r>
        <w:rPr>
          <w:rFonts w:ascii="Times New Roman" w:hAnsi="Times New Roman"/>
          <w:color w:val="231F20"/>
          <w:spacing w:val="21"/>
        </w:rPr>
        <w:t xml:space="preserve"> </w:t>
      </w:r>
      <w:r>
        <w:rPr>
          <w:rFonts w:ascii="Times New Roman" w:hAnsi="Times New Roman"/>
          <w:i/>
          <w:color w:val="231F20"/>
        </w:rPr>
        <w:t xml:space="preserve">Personality and Social Psychology Review </w:t>
      </w:r>
      <w:r>
        <w:rPr>
          <w:rFonts w:ascii="Times New Roman" w:hAnsi="Times New Roman"/>
          <w:color w:val="231F20"/>
        </w:rPr>
        <w:t>2, no.</w:t>
      </w:r>
      <w:r>
        <w:rPr>
          <w:rFonts w:ascii="Times New Roman" w:hAnsi="Times New Roman"/>
          <w:color w:val="231F20"/>
          <w:spacing w:val="40"/>
        </w:rPr>
        <w:t xml:space="preserve"> </w:t>
      </w:r>
      <w:r>
        <w:rPr>
          <w:rFonts w:ascii="Times New Roman" w:hAnsi="Times New Roman"/>
          <w:color w:val="231F20"/>
        </w:rPr>
        <w:t>3</w:t>
      </w:r>
      <w:r>
        <w:rPr>
          <w:rFonts w:ascii="Times New Roman" w:hAnsi="Times New Roman"/>
          <w:color w:val="231F20"/>
          <w:spacing w:val="40"/>
        </w:rPr>
        <w:t xml:space="preserve"> </w:t>
      </w:r>
      <w:r>
        <w:rPr>
          <w:rFonts w:ascii="Times New Roman" w:hAnsi="Times New Roman"/>
          <w:color w:val="231F20"/>
        </w:rPr>
        <w:t>(1998):196-217,</w:t>
      </w:r>
      <w:r>
        <w:rPr>
          <w:rFonts w:ascii="Times New Roman" w:hAnsi="Times New Roman"/>
          <w:color w:val="231F20"/>
          <w:spacing w:val="40"/>
        </w:rPr>
        <w:t xml:space="preserve"> </w:t>
      </w:r>
      <w:hyperlink r:id="rId21">
        <w:r>
          <w:rPr>
            <w:rFonts w:ascii="Times New Roman" w:hAnsi="Times New Roman"/>
            <w:color w:val="231F20"/>
          </w:rPr>
          <w:t>https://doi.org/10.1207/s15327957pspr0203_4.</w:t>
        </w:r>
      </w:hyperlink>
    </w:p>
  </w:footnote>
  <w:footnote w:id="95">
    <w:p w14:paraId="0E8ECEE9" w14:textId="2743DFB0" w:rsidR="00240A26" w:rsidRDefault="00240A26">
      <w:pPr>
        <w:pStyle w:val="FootnoteText"/>
      </w:pPr>
      <w:r>
        <w:rPr>
          <w:rStyle w:val="FootnoteReference"/>
        </w:rPr>
        <w:footnoteRef/>
      </w:r>
      <w:r>
        <w:t xml:space="preserve"> </w:t>
      </w:r>
      <w:r>
        <w:rPr>
          <w:rFonts w:ascii="Times New Roman" w:hAnsi="Times New Roman"/>
          <w:color w:val="231F20"/>
        </w:rPr>
        <w:t>Dana</w:t>
      </w:r>
      <w:r>
        <w:rPr>
          <w:rFonts w:ascii="Times New Roman" w:hAnsi="Times New Roman"/>
          <w:color w:val="231F20"/>
          <w:spacing w:val="25"/>
        </w:rPr>
        <w:t xml:space="preserve"> </w:t>
      </w:r>
      <w:r>
        <w:rPr>
          <w:rFonts w:ascii="Times New Roman" w:hAnsi="Times New Roman"/>
          <w:color w:val="231F20"/>
        </w:rPr>
        <w:t>L.</w:t>
      </w:r>
      <w:r>
        <w:rPr>
          <w:rFonts w:ascii="Times New Roman" w:hAnsi="Times New Roman"/>
          <w:color w:val="231F20"/>
          <w:spacing w:val="25"/>
        </w:rPr>
        <w:t xml:space="preserve"> </w:t>
      </w:r>
      <w:r>
        <w:rPr>
          <w:rFonts w:ascii="Times New Roman" w:hAnsi="Times New Roman"/>
          <w:color w:val="231F20"/>
        </w:rPr>
        <w:t>Kendall</w:t>
      </w:r>
      <w:r>
        <w:rPr>
          <w:rFonts w:ascii="Times New Roman" w:hAnsi="Times New Roman"/>
          <w:color w:val="231F20"/>
          <w:spacing w:val="25"/>
        </w:rPr>
        <w:t xml:space="preserve"> </w:t>
      </w:r>
      <w:r>
        <w:rPr>
          <w:rFonts w:ascii="Times New Roman" w:hAnsi="Times New Roman"/>
          <w:color w:val="231F20"/>
        </w:rPr>
        <w:t>and</w:t>
      </w:r>
      <w:r>
        <w:rPr>
          <w:rFonts w:ascii="Times New Roman" w:hAnsi="Times New Roman"/>
          <w:color w:val="231F20"/>
          <w:spacing w:val="25"/>
        </w:rPr>
        <w:t xml:space="preserve"> </w:t>
      </w:r>
      <w:r>
        <w:rPr>
          <w:rFonts w:ascii="Times New Roman" w:hAnsi="Times New Roman"/>
          <w:color w:val="231F20"/>
        </w:rPr>
        <w:t>Scott</w:t>
      </w:r>
      <w:r>
        <w:rPr>
          <w:rFonts w:ascii="Times New Roman" w:hAnsi="Times New Roman"/>
          <w:color w:val="231F20"/>
          <w:spacing w:val="25"/>
        </w:rPr>
        <w:t xml:space="preserve"> </w:t>
      </w:r>
      <w:r>
        <w:rPr>
          <w:rFonts w:ascii="Times New Roman" w:hAnsi="Times New Roman"/>
          <w:color w:val="231F20"/>
        </w:rPr>
        <w:t>C.</w:t>
      </w:r>
      <w:r>
        <w:rPr>
          <w:rFonts w:ascii="Times New Roman" w:hAnsi="Times New Roman"/>
          <w:color w:val="231F20"/>
          <w:spacing w:val="25"/>
        </w:rPr>
        <w:t xml:space="preserve"> </w:t>
      </w:r>
      <w:r>
        <w:rPr>
          <w:rFonts w:ascii="Times New Roman" w:hAnsi="Times New Roman"/>
          <w:color w:val="231F20"/>
        </w:rPr>
        <w:t>Campanario,</w:t>
      </w:r>
      <w:r>
        <w:rPr>
          <w:rFonts w:ascii="Times New Roman" w:hAnsi="Times New Roman"/>
          <w:color w:val="231F20"/>
          <w:spacing w:val="25"/>
        </w:rPr>
        <w:t xml:space="preserve"> </w:t>
      </w:r>
      <w:r>
        <w:rPr>
          <w:rFonts w:ascii="Times New Roman" w:hAnsi="Times New Roman"/>
          <w:color w:val="231F20"/>
        </w:rPr>
        <w:t>“Honoring</w:t>
      </w:r>
      <w:r>
        <w:rPr>
          <w:rFonts w:ascii="Times New Roman" w:hAnsi="Times New Roman"/>
          <w:color w:val="231F20"/>
          <w:spacing w:val="25"/>
        </w:rPr>
        <w:t xml:space="preserve"> </w:t>
      </w:r>
      <w:r>
        <w:rPr>
          <w:rFonts w:ascii="Times New Roman" w:hAnsi="Times New Roman"/>
          <w:color w:val="231F20"/>
        </w:rPr>
        <w:t>God</w:t>
      </w:r>
      <w:r>
        <w:rPr>
          <w:rFonts w:ascii="Times New Roman" w:hAnsi="Times New Roman"/>
          <w:color w:val="231F20"/>
          <w:spacing w:val="25"/>
        </w:rPr>
        <w:t xml:space="preserve"> </w:t>
      </w:r>
      <w:r>
        <w:rPr>
          <w:rFonts w:ascii="Times New Roman" w:hAnsi="Times New Roman"/>
          <w:color w:val="231F20"/>
        </w:rPr>
        <w:t>through</w:t>
      </w:r>
      <w:r>
        <w:rPr>
          <w:rFonts w:ascii="Times New Roman" w:hAnsi="Times New Roman"/>
          <w:color w:val="231F20"/>
          <w:spacing w:val="25"/>
        </w:rPr>
        <w:t xml:space="preserve"> </w:t>
      </w:r>
      <w:r>
        <w:rPr>
          <w:rFonts w:ascii="Times New Roman" w:hAnsi="Times New Roman"/>
          <w:color w:val="231F20"/>
        </w:rPr>
        <w:t>Scientific</w:t>
      </w:r>
      <w:r>
        <w:rPr>
          <w:rFonts w:ascii="Times New Roman" w:hAnsi="Times New Roman"/>
          <w:color w:val="231F20"/>
          <w:spacing w:val="25"/>
        </w:rPr>
        <w:t xml:space="preserve"> </w:t>
      </w:r>
      <w:r>
        <w:rPr>
          <w:rFonts w:ascii="Times New Roman" w:hAnsi="Times New Roman"/>
          <w:color w:val="231F20"/>
        </w:rPr>
        <w:t>Research:</w:t>
      </w:r>
      <w:r>
        <w:rPr>
          <w:rFonts w:ascii="Times New Roman" w:hAnsi="Times New Roman"/>
          <w:color w:val="231F20"/>
          <w:spacing w:val="25"/>
        </w:rPr>
        <w:t xml:space="preserve"> </w:t>
      </w:r>
      <w:r>
        <w:rPr>
          <w:rFonts w:ascii="Times New Roman" w:hAnsi="Times New Roman"/>
          <w:color w:val="231F20"/>
        </w:rPr>
        <w:t>Navigating</w:t>
      </w:r>
      <w:r>
        <w:rPr>
          <w:rFonts w:ascii="Times New Roman" w:hAnsi="Times New Roman"/>
          <w:color w:val="231F20"/>
          <w:spacing w:val="25"/>
        </w:rPr>
        <w:t xml:space="preserve"> </w:t>
      </w:r>
      <w:r>
        <w:rPr>
          <w:rFonts w:ascii="Times New Roman" w:hAnsi="Times New Roman"/>
          <w:color w:val="231F20"/>
        </w:rPr>
        <w:t>the</w:t>
      </w:r>
      <w:r>
        <w:rPr>
          <w:rFonts w:ascii="Times New Roman" w:hAnsi="Times New Roman"/>
          <w:color w:val="231F20"/>
          <w:spacing w:val="25"/>
        </w:rPr>
        <w:t xml:space="preserve"> </w:t>
      </w:r>
      <w:r>
        <w:rPr>
          <w:rFonts w:ascii="Times New Roman" w:hAnsi="Times New Roman"/>
          <w:color w:val="231F20"/>
        </w:rPr>
        <w:t>Ethics</w:t>
      </w:r>
      <w:r>
        <w:rPr>
          <w:rFonts w:ascii="Times New Roman" w:hAnsi="Times New Roman"/>
          <w:color w:val="231F20"/>
          <w:spacing w:val="24"/>
        </w:rPr>
        <w:t xml:space="preserve"> </w:t>
      </w:r>
      <w:r>
        <w:rPr>
          <w:rFonts w:ascii="Times New Roman" w:hAnsi="Times New Roman"/>
          <w:color w:val="231F20"/>
        </w:rPr>
        <w:t>of Publishing</w:t>
      </w:r>
      <w:r>
        <w:rPr>
          <w:rFonts w:ascii="Times New Roman" w:hAnsi="Times New Roman"/>
          <w:color w:val="231F20"/>
          <w:spacing w:val="31"/>
        </w:rPr>
        <w:t xml:space="preserve"> </w:t>
      </w:r>
      <w:r>
        <w:rPr>
          <w:rFonts w:ascii="Times New Roman" w:hAnsi="Times New Roman"/>
          <w:color w:val="231F20"/>
        </w:rPr>
        <w:t>with</w:t>
      </w:r>
      <w:r>
        <w:rPr>
          <w:rFonts w:ascii="Times New Roman" w:hAnsi="Times New Roman"/>
          <w:color w:val="231F20"/>
          <w:spacing w:val="31"/>
        </w:rPr>
        <w:t xml:space="preserve"> </w:t>
      </w:r>
      <w:r>
        <w:rPr>
          <w:rFonts w:ascii="Times New Roman" w:hAnsi="Times New Roman"/>
          <w:color w:val="231F20"/>
        </w:rPr>
        <w:t>our</w:t>
      </w:r>
      <w:r>
        <w:rPr>
          <w:rFonts w:ascii="Times New Roman" w:hAnsi="Times New Roman"/>
          <w:color w:val="231F20"/>
          <w:spacing w:val="31"/>
        </w:rPr>
        <w:t xml:space="preserve"> </w:t>
      </w:r>
      <w:r>
        <w:rPr>
          <w:rFonts w:ascii="Times New Roman" w:hAnsi="Times New Roman"/>
          <w:color w:val="231F20"/>
        </w:rPr>
        <w:t>Students,”</w:t>
      </w:r>
      <w:r>
        <w:rPr>
          <w:rFonts w:ascii="Times New Roman" w:hAnsi="Times New Roman"/>
          <w:color w:val="231F20"/>
          <w:spacing w:val="25"/>
        </w:rPr>
        <w:t xml:space="preserve"> </w:t>
      </w:r>
      <w:r>
        <w:rPr>
          <w:rFonts w:ascii="Times New Roman" w:hAnsi="Times New Roman"/>
          <w:i/>
          <w:color w:val="231F20"/>
        </w:rPr>
        <w:t xml:space="preserve">International Journal of Christianity &amp; Education </w:t>
      </w:r>
      <w:r>
        <w:rPr>
          <w:rFonts w:ascii="Times New Roman" w:hAnsi="Times New Roman"/>
          <w:color w:val="231F20"/>
        </w:rPr>
        <w:t>20,</w:t>
      </w:r>
      <w:r>
        <w:rPr>
          <w:rFonts w:ascii="Times New Roman" w:hAnsi="Times New Roman"/>
          <w:color w:val="231F20"/>
          <w:spacing w:val="31"/>
        </w:rPr>
        <w:t xml:space="preserve"> </w:t>
      </w:r>
      <w:r>
        <w:rPr>
          <w:rFonts w:ascii="Times New Roman" w:hAnsi="Times New Roman"/>
          <w:color w:val="231F20"/>
        </w:rPr>
        <w:t>no.</w:t>
      </w:r>
      <w:r>
        <w:rPr>
          <w:rFonts w:ascii="Times New Roman" w:hAnsi="Times New Roman"/>
          <w:color w:val="231F20"/>
          <w:spacing w:val="31"/>
        </w:rPr>
        <w:t xml:space="preserve"> </w:t>
      </w:r>
      <w:r>
        <w:rPr>
          <w:rFonts w:ascii="Times New Roman" w:hAnsi="Times New Roman"/>
          <w:color w:val="231F20"/>
        </w:rPr>
        <w:t>2</w:t>
      </w:r>
      <w:r>
        <w:rPr>
          <w:rFonts w:ascii="Times New Roman" w:hAnsi="Times New Roman"/>
          <w:color w:val="231F20"/>
          <w:spacing w:val="31"/>
        </w:rPr>
        <w:t xml:space="preserve"> </w:t>
      </w:r>
      <w:r>
        <w:rPr>
          <w:rFonts w:ascii="Times New Roman" w:hAnsi="Times New Roman"/>
          <w:color w:val="231F20"/>
        </w:rPr>
        <w:t>(2016):</w:t>
      </w:r>
      <w:r>
        <w:rPr>
          <w:rFonts w:ascii="Times New Roman" w:hAnsi="Times New Roman"/>
          <w:color w:val="231F20"/>
          <w:spacing w:val="31"/>
        </w:rPr>
        <w:t xml:space="preserve"> </w:t>
      </w:r>
      <w:r>
        <w:rPr>
          <w:rFonts w:ascii="Times New Roman" w:hAnsi="Times New Roman"/>
          <w:color w:val="231F20"/>
        </w:rPr>
        <w:t>137.</w:t>
      </w:r>
    </w:p>
  </w:footnote>
  <w:footnote w:id="96">
    <w:p w14:paraId="0F332BBE" w14:textId="3B9901D7" w:rsidR="00240A26" w:rsidRPr="00BD1A51" w:rsidRDefault="00240A26" w:rsidP="00BD1A51">
      <w:pPr>
        <w:spacing w:before="61"/>
        <w:rPr>
          <w:rFonts w:ascii="Times New Roman"/>
          <w:sz w:val="20"/>
        </w:rPr>
      </w:pPr>
      <w:r>
        <w:rPr>
          <w:rStyle w:val="FootnoteReference"/>
        </w:rPr>
        <w:footnoteRef/>
      </w:r>
      <w:r>
        <w:t xml:space="preserve"> </w:t>
      </w:r>
      <w:r>
        <w:rPr>
          <w:rFonts w:ascii="Times New Roman"/>
          <w:color w:val="231F20"/>
          <w:sz w:val="20"/>
        </w:rPr>
        <w:t>Chambers,</w:t>
      </w:r>
      <w:r>
        <w:rPr>
          <w:rFonts w:ascii="Times New Roman"/>
          <w:color w:val="231F20"/>
          <w:spacing w:val="19"/>
          <w:sz w:val="20"/>
        </w:rPr>
        <w:t xml:space="preserve"> </w:t>
      </w:r>
      <w:r>
        <w:rPr>
          <w:rFonts w:ascii="Times New Roman"/>
          <w:i/>
          <w:color w:val="231F20"/>
          <w:sz w:val="20"/>
        </w:rPr>
        <w:t>Seven</w:t>
      </w:r>
      <w:r>
        <w:rPr>
          <w:rFonts w:ascii="Times New Roman"/>
          <w:i/>
          <w:color w:val="231F20"/>
          <w:spacing w:val="10"/>
          <w:sz w:val="20"/>
        </w:rPr>
        <w:t xml:space="preserve"> </w:t>
      </w:r>
      <w:r>
        <w:rPr>
          <w:rFonts w:ascii="Times New Roman"/>
          <w:i/>
          <w:color w:val="231F20"/>
          <w:sz w:val="20"/>
        </w:rPr>
        <w:t>Deadly</w:t>
      </w:r>
      <w:r>
        <w:rPr>
          <w:rFonts w:ascii="Times New Roman"/>
          <w:i/>
          <w:color w:val="231F20"/>
          <w:spacing w:val="10"/>
          <w:sz w:val="20"/>
        </w:rPr>
        <w:t xml:space="preserve"> </w:t>
      </w:r>
      <w:r>
        <w:rPr>
          <w:rFonts w:ascii="Times New Roman"/>
          <w:i/>
          <w:color w:val="231F20"/>
          <w:sz w:val="20"/>
        </w:rPr>
        <w:t>Sins</w:t>
      </w:r>
      <w:r>
        <w:rPr>
          <w:rFonts w:ascii="Times New Roman"/>
          <w:color w:val="231F20"/>
          <w:sz w:val="20"/>
        </w:rPr>
        <w:t>,</w:t>
      </w:r>
      <w:r>
        <w:rPr>
          <w:rFonts w:ascii="Times New Roman"/>
          <w:color w:val="231F20"/>
          <w:spacing w:val="20"/>
          <w:sz w:val="20"/>
        </w:rPr>
        <w:t xml:space="preserve"> </w:t>
      </w:r>
      <w:r>
        <w:rPr>
          <w:rFonts w:ascii="Times New Roman"/>
          <w:color w:val="231F20"/>
          <w:spacing w:val="-5"/>
          <w:sz w:val="20"/>
        </w:rPr>
        <w:t>3.</w:t>
      </w:r>
    </w:p>
  </w:footnote>
  <w:footnote w:id="97">
    <w:p w14:paraId="07BA3225" w14:textId="170818EC" w:rsidR="00240A26" w:rsidRDefault="00240A26">
      <w:pPr>
        <w:pStyle w:val="FootnoteText"/>
      </w:pPr>
      <w:r>
        <w:rPr>
          <w:rStyle w:val="FootnoteReference"/>
        </w:rPr>
        <w:footnoteRef/>
      </w:r>
      <w:r>
        <w:t xml:space="preserve"> </w:t>
      </w:r>
      <w:r w:rsidRPr="00240A26">
        <w:t>Fanelli, “‘Positive’ Results Increase Down the Hierarchy of the Sciences,” e10068.</w:t>
      </w:r>
    </w:p>
  </w:footnote>
  <w:footnote w:id="98">
    <w:p w14:paraId="600B225D" w14:textId="5B8C3CCD" w:rsidR="00240A26" w:rsidRPr="00240A26" w:rsidRDefault="00240A26">
      <w:pPr>
        <w:pStyle w:val="FootnoteText"/>
        <w:rPr>
          <w:color w:val="000000" w:themeColor="text1"/>
        </w:rPr>
      </w:pPr>
      <w:r>
        <w:rPr>
          <w:rStyle w:val="FootnoteReference"/>
        </w:rPr>
        <w:footnoteRef/>
      </w:r>
      <w:r>
        <w:t xml:space="preserve"> </w:t>
      </w:r>
      <w:r w:rsidRPr="00240A26">
        <w:t xml:space="preserve">Meta-analyses combine results from multiple studies for a more robust effect size and sample size. However, if the entire body of </w:t>
      </w:r>
      <w:r w:rsidRPr="00240A26">
        <w:rPr>
          <w:color w:val="000000" w:themeColor="text1"/>
        </w:rPr>
        <w:t xml:space="preserve">research is biased, the meta-analysis results will be flawed also (e.g., Singal, </w:t>
      </w:r>
      <w:r w:rsidRPr="00240A26">
        <w:rPr>
          <w:i/>
          <w:color w:val="000000" w:themeColor="text1"/>
        </w:rPr>
        <w:t xml:space="preserve">Quick Fix, </w:t>
      </w:r>
      <w:r w:rsidRPr="00240A26">
        <w:rPr>
          <w:color w:val="000000" w:themeColor="text1"/>
        </w:rPr>
        <w:t>113).</w:t>
      </w:r>
    </w:p>
  </w:footnote>
  <w:footnote w:id="99">
    <w:p w14:paraId="0C9BB7B7" w14:textId="324F9794" w:rsidR="00240A26" w:rsidRPr="005D55B4" w:rsidRDefault="00240A26">
      <w:pPr>
        <w:pStyle w:val="FootnoteText"/>
        <w:rPr>
          <w:color w:val="000000" w:themeColor="text1"/>
        </w:rPr>
      </w:pPr>
      <w:r w:rsidRPr="00240A26">
        <w:rPr>
          <w:rStyle w:val="FootnoteReference"/>
          <w:color w:val="000000" w:themeColor="text1"/>
        </w:rPr>
        <w:footnoteRef/>
      </w:r>
      <w:r w:rsidRPr="00240A26">
        <w:rPr>
          <w:color w:val="000000" w:themeColor="text1"/>
        </w:rPr>
        <w:t xml:space="preserve"> </w:t>
      </w:r>
      <w:r w:rsidRPr="00240A26">
        <w:rPr>
          <w:color w:val="000000" w:themeColor="text1"/>
        </w:rPr>
        <w:t xml:space="preserve">Jelte Wicherts, Denny Borsboom, Judith Kats, and Dylan Molenaar, “The Poor Availability of Psychological Research Data for Reanalysis,” </w:t>
      </w:r>
      <w:r w:rsidRPr="00240A26">
        <w:rPr>
          <w:i/>
          <w:color w:val="000000" w:themeColor="text1"/>
        </w:rPr>
        <w:t xml:space="preserve">American Psychologist </w:t>
      </w:r>
      <w:r w:rsidRPr="00240A26">
        <w:rPr>
          <w:color w:val="000000" w:themeColor="text1"/>
        </w:rPr>
        <w:t xml:space="preserve">61, no. 7 (November 2006): 726-728, </w:t>
      </w:r>
      <w:hyperlink r:id="rId22">
        <w:r w:rsidRPr="00240A26">
          <w:rPr>
            <w:rStyle w:val="Hyperlink"/>
            <w:color w:val="000000" w:themeColor="text1"/>
            <w:u w:val="none"/>
          </w:rPr>
          <w:t>https://doi.</w:t>
        </w:r>
      </w:hyperlink>
      <w:r w:rsidRPr="00240A26">
        <w:rPr>
          <w:color w:val="000000" w:themeColor="text1"/>
        </w:rPr>
        <w:t xml:space="preserve"> org/10.1037/0003-</w:t>
      </w:r>
      <w:r w:rsidRPr="005D55B4">
        <w:rPr>
          <w:color w:val="000000" w:themeColor="text1"/>
        </w:rPr>
        <w:t>066X.61.7.726.</w:t>
      </w:r>
    </w:p>
  </w:footnote>
  <w:footnote w:id="100">
    <w:p w14:paraId="180134E4" w14:textId="75B7CDF1" w:rsidR="005D55B4" w:rsidRPr="005D55B4" w:rsidRDefault="005D55B4">
      <w:pPr>
        <w:pStyle w:val="FootnoteText"/>
        <w:rPr>
          <w:color w:val="000000" w:themeColor="text1"/>
        </w:rPr>
      </w:pPr>
      <w:r w:rsidRPr="005D55B4">
        <w:rPr>
          <w:rStyle w:val="FootnoteReference"/>
          <w:color w:val="000000" w:themeColor="text1"/>
        </w:rPr>
        <w:footnoteRef/>
      </w:r>
      <w:r w:rsidRPr="005D55B4">
        <w:rPr>
          <w:color w:val="000000" w:themeColor="text1"/>
        </w:rPr>
        <w:t xml:space="preserve"> </w:t>
      </w:r>
      <w:r w:rsidRPr="005D55B4">
        <w:rPr>
          <w:rFonts w:ascii="Times New Roman" w:hAnsi="Times New Roman"/>
          <w:color w:val="000000" w:themeColor="text1"/>
        </w:rPr>
        <w:t xml:space="preserve">Akira Onishi and Toshi A. Furukawa, “Publication Bias is Underreported in Systematic Reviews Published in High-Impact-Factor Journals: Metaepidemiologic Study,” </w:t>
      </w:r>
      <w:r w:rsidRPr="005D55B4">
        <w:rPr>
          <w:rFonts w:ascii="Times New Roman" w:hAnsi="Times New Roman"/>
          <w:i/>
          <w:color w:val="000000" w:themeColor="text1"/>
        </w:rPr>
        <w:t xml:space="preserve">Journal of Clinical Epidemiology </w:t>
      </w:r>
      <w:r w:rsidRPr="005D55B4">
        <w:rPr>
          <w:rFonts w:ascii="Times New Roman" w:hAnsi="Times New Roman"/>
          <w:color w:val="000000" w:themeColor="text1"/>
        </w:rPr>
        <w:t>67, no. 12 (Dec 2014): 1320-1326,</w:t>
      </w:r>
      <w:r w:rsidRPr="005D55B4">
        <w:rPr>
          <w:rFonts w:ascii="Times New Roman" w:hAnsi="Times New Roman"/>
          <w:color w:val="000000" w:themeColor="text1"/>
          <w:spacing w:val="25"/>
        </w:rPr>
        <w:t xml:space="preserve"> </w:t>
      </w:r>
      <w:hyperlink r:id="rId23">
        <w:r w:rsidRPr="005D55B4">
          <w:rPr>
            <w:rFonts w:ascii="Times New Roman" w:hAnsi="Times New Roman"/>
            <w:color w:val="000000" w:themeColor="text1"/>
          </w:rPr>
          <w:t>https://doi.org/10.1016/j.jclinepi.2014.07.002.</w:t>
        </w:r>
      </w:hyperlink>
    </w:p>
  </w:footnote>
  <w:footnote w:id="101">
    <w:p w14:paraId="291C54FD" w14:textId="5D665C7B" w:rsidR="005D55B4" w:rsidRPr="005D55B4" w:rsidRDefault="005D55B4">
      <w:pPr>
        <w:pStyle w:val="FootnoteText"/>
        <w:rPr>
          <w:color w:val="000000" w:themeColor="text1"/>
        </w:rPr>
      </w:pPr>
      <w:r w:rsidRPr="005D55B4">
        <w:rPr>
          <w:rStyle w:val="FootnoteReference"/>
          <w:color w:val="000000" w:themeColor="text1"/>
        </w:rPr>
        <w:footnoteRef/>
      </w:r>
      <w:r w:rsidRPr="005D55B4">
        <w:rPr>
          <w:color w:val="000000" w:themeColor="text1"/>
        </w:rPr>
        <w:t xml:space="preserve"> </w:t>
      </w:r>
      <w:r w:rsidRPr="005D55B4">
        <w:rPr>
          <w:color w:val="000000" w:themeColor="text1"/>
        </w:rPr>
        <w:t xml:space="preserve">See </w:t>
      </w:r>
      <w:hyperlink r:id="rId24">
        <w:r w:rsidRPr="005D55B4">
          <w:rPr>
            <w:rStyle w:val="Hyperlink"/>
            <w:color w:val="000000" w:themeColor="text1"/>
            <w:u w:val="none"/>
          </w:rPr>
          <w:t>www.cchrint.org/issues/the-corrupt-alliance-of-the-psychiatric-pharmaceutical-industry/</w:t>
        </w:r>
      </w:hyperlink>
      <w:r w:rsidRPr="005D55B4">
        <w:rPr>
          <w:color w:val="000000" w:themeColor="text1"/>
        </w:rPr>
        <w:t xml:space="preserve"> for examples where psychiatry researchers from institutions such as Harvard, Stanford, and Emory had improper financial relationships (in the multi-millions of dollars) with pharmaceutical companies.</w:t>
      </w:r>
    </w:p>
  </w:footnote>
  <w:footnote w:id="102">
    <w:p w14:paraId="6F95D52B" w14:textId="5DFA10E0" w:rsidR="005D55B4" w:rsidRPr="005D55B4" w:rsidRDefault="005D55B4" w:rsidP="005D55B4">
      <w:pPr>
        <w:pStyle w:val="FootnoteText"/>
      </w:pPr>
      <w:r>
        <w:rPr>
          <w:rStyle w:val="FootnoteReference"/>
        </w:rPr>
        <w:footnoteRef/>
      </w:r>
      <w:r>
        <w:t xml:space="preserve"> R</w:t>
      </w:r>
      <w:r w:rsidRPr="005D55B4">
        <w:t xml:space="preserve">itchie, </w:t>
      </w:r>
      <w:r w:rsidRPr="005D55B4">
        <w:rPr>
          <w:i/>
        </w:rPr>
        <w:t>Science Fictions</w:t>
      </w:r>
      <w:r w:rsidRPr="005D55B4">
        <w:t>, 113. Ritchie has an entire chapter entitled “Perverse Incentives.”</w:t>
      </w:r>
    </w:p>
    <w:p w14:paraId="60C5E480" w14:textId="621FBAFF" w:rsidR="005D55B4" w:rsidRDefault="005D55B4">
      <w:pPr>
        <w:pStyle w:val="FootnoteText"/>
      </w:pPr>
    </w:p>
  </w:footnote>
  <w:footnote w:id="103">
    <w:p w14:paraId="10DF8A35" w14:textId="52932695" w:rsidR="005D55B4" w:rsidRPr="00DC3FB6" w:rsidRDefault="005D55B4">
      <w:pPr>
        <w:pStyle w:val="FootnoteText"/>
        <w:rPr>
          <w:color w:val="000000" w:themeColor="text1"/>
        </w:rPr>
      </w:pPr>
      <w:r w:rsidRPr="00DC3FB6">
        <w:rPr>
          <w:rStyle w:val="FootnoteReference"/>
          <w:color w:val="000000" w:themeColor="text1"/>
        </w:rPr>
        <w:footnoteRef/>
      </w:r>
      <w:r w:rsidRPr="00DC3FB6">
        <w:rPr>
          <w:color w:val="000000" w:themeColor="text1"/>
        </w:rPr>
        <w:t xml:space="preserve"> </w:t>
      </w:r>
      <w:r w:rsidRPr="00DC3FB6">
        <w:rPr>
          <w:color w:val="000000" w:themeColor="text1"/>
        </w:rPr>
        <w:t xml:space="preserve">Ritchie, </w:t>
      </w:r>
      <w:r w:rsidRPr="00DC3FB6">
        <w:rPr>
          <w:i/>
          <w:color w:val="000000" w:themeColor="text1"/>
        </w:rPr>
        <w:t>Science Fictions</w:t>
      </w:r>
      <w:r w:rsidRPr="00DC3FB6">
        <w:rPr>
          <w:color w:val="000000" w:themeColor="text1"/>
        </w:rPr>
        <w:t>, 125.</w:t>
      </w:r>
    </w:p>
  </w:footnote>
  <w:footnote w:id="104">
    <w:p w14:paraId="7E32C5EC" w14:textId="3D0A96C6" w:rsidR="00DC3FB6" w:rsidRPr="00DC3FB6" w:rsidRDefault="00DC3FB6">
      <w:pPr>
        <w:pStyle w:val="FootnoteText"/>
        <w:rPr>
          <w:color w:val="000000" w:themeColor="text1"/>
        </w:rPr>
      </w:pPr>
      <w:r w:rsidRPr="00DC3FB6">
        <w:rPr>
          <w:rStyle w:val="FootnoteReference"/>
          <w:color w:val="000000" w:themeColor="text1"/>
        </w:rPr>
        <w:footnoteRef/>
      </w:r>
      <w:r w:rsidRPr="00DC3FB6">
        <w:rPr>
          <w:color w:val="000000" w:themeColor="text1"/>
        </w:rPr>
        <w:t xml:space="preserve"> </w:t>
      </w:r>
      <w:r w:rsidRPr="00DC3FB6">
        <w:rPr>
          <w:color w:val="000000" w:themeColor="text1"/>
        </w:rPr>
        <w:t xml:space="preserve">Jesse Singal does a fantastic job illuminating hype and fad psychology in </w:t>
      </w:r>
      <w:r w:rsidRPr="00DC3FB6">
        <w:rPr>
          <w:i/>
          <w:color w:val="000000" w:themeColor="text1"/>
        </w:rPr>
        <w:t xml:space="preserve">The Quick Fix: Why Fad Psychology Can’t Cure Our Social Ills </w:t>
      </w:r>
      <w:r w:rsidRPr="00DC3FB6">
        <w:rPr>
          <w:color w:val="000000" w:themeColor="text1"/>
        </w:rPr>
        <w:t>(New York: Farrar, Straus and Giroux, 2021).</w:t>
      </w:r>
    </w:p>
  </w:footnote>
  <w:footnote w:id="105">
    <w:p w14:paraId="7FB57EEC" w14:textId="441242B9" w:rsidR="00DC3FB6" w:rsidRPr="00CE215B" w:rsidRDefault="00DC3FB6">
      <w:pPr>
        <w:pStyle w:val="FootnoteText"/>
        <w:rPr>
          <w:color w:val="000000" w:themeColor="text1"/>
        </w:rPr>
      </w:pPr>
      <w:r w:rsidRPr="00DC3FB6">
        <w:rPr>
          <w:rStyle w:val="FootnoteReference"/>
          <w:color w:val="000000" w:themeColor="text1"/>
        </w:rPr>
        <w:footnoteRef/>
      </w:r>
      <w:r w:rsidRPr="00DC3FB6">
        <w:rPr>
          <w:color w:val="000000" w:themeColor="text1"/>
        </w:rPr>
        <w:t xml:space="preserve"> </w:t>
      </w:r>
      <w:r w:rsidRPr="00DC3FB6">
        <w:rPr>
          <w:color w:val="000000" w:themeColor="text1"/>
        </w:rPr>
        <w:t xml:space="preserve">Petroc Sumner, Solveiga Vivian-Griffiths, and Jacky Boivin, “The Association Between Exaggeration in Health Related Science News and Academic Press Releases: Retrospective Observational Study,” </w:t>
      </w:r>
      <w:r w:rsidRPr="00DC3FB6">
        <w:rPr>
          <w:i/>
          <w:color w:val="000000" w:themeColor="text1"/>
        </w:rPr>
        <w:t xml:space="preserve">British </w:t>
      </w:r>
      <w:r w:rsidRPr="00CE215B">
        <w:rPr>
          <w:i/>
          <w:color w:val="000000" w:themeColor="text1"/>
        </w:rPr>
        <w:t xml:space="preserve">Medical Journal </w:t>
      </w:r>
      <w:r w:rsidRPr="00CE215B">
        <w:rPr>
          <w:color w:val="000000" w:themeColor="text1"/>
        </w:rPr>
        <w:t xml:space="preserve">349 (December 2014): g7015, </w:t>
      </w:r>
      <w:hyperlink r:id="rId25">
        <w:r w:rsidRPr="00CE215B">
          <w:rPr>
            <w:rStyle w:val="Hyperlink"/>
            <w:color w:val="000000" w:themeColor="text1"/>
            <w:u w:val="none"/>
          </w:rPr>
          <w:t>https://doi.org/10.1136/bmj.g7015.</w:t>
        </w:r>
      </w:hyperlink>
    </w:p>
  </w:footnote>
  <w:footnote w:id="106">
    <w:p w14:paraId="1CABD77B" w14:textId="6F178215" w:rsidR="00CE215B" w:rsidRPr="00CE215B" w:rsidRDefault="00CE215B">
      <w:pPr>
        <w:pStyle w:val="FootnoteText"/>
        <w:rPr>
          <w:color w:val="000000" w:themeColor="text1"/>
        </w:rPr>
      </w:pPr>
      <w:r w:rsidRPr="00CE215B">
        <w:rPr>
          <w:rStyle w:val="FootnoteReference"/>
          <w:color w:val="000000" w:themeColor="text1"/>
        </w:rPr>
        <w:footnoteRef/>
      </w:r>
      <w:r w:rsidRPr="00CE215B">
        <w:rPr>
          <w:color w:val="000000" w:themeColor="text1"/>
        </w:rPr>
        <w:t xml:space="preserve"> </w:t>
      </w:r>
      <w:r w:rsidRPr="00CE215B">
        <w:rPr>
          <w:rFonts w:ascii="Times New Roman"/>
          <w:color w:val="000000" w:themeColor="text1"/>
        </w:rPr>
        <w:t>Chambers,</w:t>
      </w:r>
      <w:r w:rsidRPr="00CE215B">
        <w:rPr>
          <w:rFonts w:ascii="Times New Roman"/>
          <w:color w:val="000000" w:themeColor="text1"/>
          <w:spacing w:val="15"/>
        </w:rPr>
        <w:t xml:space="preserve"> </w:t>
      </w:r>
      <w:r w:rsidRPr="00CE215B">
        <w:rPr>
          <w:rFonts w:ascii="Times New Roman"/>
          <w:i/>
          <w:color w:val="000000" w:themeColor="text1"/>
        </w:rPr>
        <w:t>Seven</w:t>
      </w:r>
      <w:r w:rsidRPr="00CE215B">
        <w:rPr>
          <w:rFonts w:ascii="Times New Roman"/>
          <w:i/>
          <w:color w:val="000000" w:themeColor="text1"/>
          <w:spacing w:val="6"/>
        </w:rPr>
        <w:t xml:space="preserve"> </w:t>
      </w:r>
      <w:r w:rsidRPr="00CE215B">
        <w:rPr>
          <w:rFonts w:ascii="Times New Roman"/>
          <w:i/>
          <w:color w:val="000000" w:themeColor="text1"/>
        </w:rPr>
        <w:t>Sins</w:t>
      </w:r>
      <w:r w:rsidRPr="00CE215B">
        <w:rPr>
          <w:rFonts w:ascii="Times New Roman"/>
          <w:i/>
          <w:color w:val="000000" w:themeColor="text1"/>
          <w:spacing w:val="4"/>
        </w:rPr>
        <w:t xml:space="preserve"> </w:t>
      </w:r>
      <w:r w:rsidRPr="00CE215B">
        <w:rPr>
          <w:rFonts w:ascii="Times New Roman"/>
          <w:i/>
          <w:color w:val="000000" w:themeColor="text1"/>
        </w:rPr>
        <w:t>of</w:t>
      </w:r>
      <w:r w:rsidRPr="00CE215B">
        <w:rPr>
          <w:rFonts w:ascii="Times New Roman"/>
          <w:i/>
          <w:color w:val="000000" w:themeColor="text1"/>
          <w:spacing w:val="6"/>
        </w:rPr>
        <w:t xml:space="preserve"> </w:t>
      </w:r>
      <w:r w:rsidRPr="00CE215B">
        <w:rPr>
          <w:rFonts w:ascii="Times New Roman"/>
          <w:i/>
          <w:color w:val="000000" w:themeColor="text1"/>
        </w:rPr>
        <w:t>Psychology,</w:t>
      </w:r>
      <w:r w:rsidRPr="00CE215B">
        <w:rPr>
          <w:rFonts w:ascii="Times New Roman"/>
          <w:i/>
          <w:color w:val="000000" w:themeColor="text1"/>
          <w:spacing w:val="11"/>
        </w:rPr>
        <w:t xml:space="preserve"> </w:t>
      </w:r>
      <w:r w:rsidRPr="00CE215B">
        <w:rPr>
          <w:rFonts w:ascii="Times New Roman"/>
          <w:color w:val="000000" w:themeColor="text1"/>
          <w:spacing w:val="-5"/>
        </w:rPr>
        <w:t>12.</w:t>
      </w:r>
    </w:p>
  </w:footnote>
  <w:footnote w:id="107">
    <w:p w14:paraId="2E201D8F" w14:textId="58553C76" w:rsidR="00CE215B" w:rsidRPr="00CE215B" w:rsidRDefault="00CE215B">
      <w:pPr>
        <w:pStyle w:val="FootnoteText"/>
        <w:rPr>
          <w:color w:val="000000" w:themeColor="text1"/>
        </w:rPr>
      </w:pPr>
      <w:r w:rsidRPr="00CE215B">
        <w:rPr>
          <w:rStyle w:val="FootnoteReference"/>
          <w:color w:val="000000" w:themeColor="text1"/>
        </w:rPr>
        <w:footnoteRef/>
      </w:r>
      <w:r w:rsidRPr="00CE215B">
        <w:rPr>
          <w:color w:val="000000" w:themeColor="text1"/>
        </w:rPr>
        <w:t xml:space="preserve"> </w:t>
      </w:r>
      <w:r w:rsidRPr="00CE215B">
        <w:rPr>
          <w:color w:val="000000" w:themeColor="text1"/>
        </w:rPr>
        <w:t xml:space="preserve">Gregory Mitchell, “Jumping to Conclusions: Advocacy and Application of Psychological Research,” in </w:t>
      </w:r>
      <w:r w:rsidRPr="00CE215B">
        <w:rPr>
          <w:i/>
          <w:color w:val="000000" w:themeColor="text1"/>
        </w:rPr>
        <w:t xml:space="preserve">The Politics of Social Psychology, </w:t>
      </w:r>
      <w:r w:rsidRPr="00CE215B">
        <w:rPr>
          <w:color w:val="000000" w:themeColor="text1"/>
        </w:rPr>
        <w:t>eds. J.T. Crawford and L. Jussim (New York: Routledge, 2018): 139-155.</w:t>
      </w:r>
    </w:p>
  </w:footnote>
  <w:footnote w:id="108">
    <w:p w14:paraId="19E1E950" w14:textId="77777777" w:rsidR="00CE215B" w:rsidRPr="00CE215B" w:rsidRDefault="00CE215B" w:rsidP="00CE215B">
      <w:pPr>
        <w:pStyle w:val="FootnoteText"/>
        <w:rPr>
          <w:color w:val="000000" w:themeColor="text1"/>
        </w:rPr>
      </w:pPr>
      <w:r w:rsidRPr="00CE215B">
        <w:rPr>
          <w:rStyle w:val="FootnoteReference"/>
          <w:color w:val="000000" w:themeColor="text1"/>
        </w:rPr>
        <w:footnoteRef/>
      </w:r>
      <w:r w:rsidRPr="00CE215B">
        <w:rPr>
          <w:color w:val="000000" w:themeColor="text1"/>
        </w:rPr>
        <w:t xml:space="preserve"> </w:t>
      </w:r>
      <w:r w:rsidRPr="00CE215B">
        <w:rPr>
          <w:color w:val="000000" w:themeColor="text1"/>
        </w:rPr>
        <w:t xml:space="preserve">Society for Neuroscience, “About SfN,” </w:t>
      </w:r>
      <w:hyperlink r:id="rId26">
        <w:r w:rsidRPr="00CE215B">
          <w:rPr>
            <w:rStyle w:val="Hyperlink"/>
            <w:color w:val="000000" w:themeColor="text1"/>
            <w:u w:val="none"/>
          </w:rPr>
          <w:t>http://www.sfn.org/about</w:t>
        </w:r>
      </w:hyperlink>
      <w:r w:rsidRPr="00CE215B">
        <w:rPr>
          <w:color w:val="000000" w:themeColor="text1"/>
        </w:rPr>
        <w:t xml:space="preserve"> (accessed May 29, 2021).</w:t>
      </w:r>
    </w:p>
    <w:p w14:paraId="529FE4F4" w14:textId="0AC067F9" w:rsidR="00CE215B" w:rsidRDefault="00CE215B">
      <w:pPr>
        <w:pStyle w:val="FootnoteText"/>
      </w:pPr>
    </w:p>
  </w:footnote>
  <w:footnote w:id="109">
    <w:p w14:paraId="64C2EF9D" w14:textId="554BF01E" w:rsidR="00E57DD5" w:rsidRPr="005C7D21" w:rsidRDefault="00E57DD5">
      <w:pPr>
        <w:pStyle w:val="FootnoteText"/>
        <w:rPr>
          <w:color w:val="000000" w:themeColor="text1"/>
        </w:rPr>
      </w:pPr>
      <w:r w:rsidRPr="00E57DD5">
        <w:rPr>
          <w:rStyle w:val="FootnoteReference"/>
          <w:color w:val="000000" w:themeColor="text1"/>
        </w:rPr>
        <w:footnoteRef/>
      </w:r>
      <w:r w:rsidRPr="00E57DD5">
        <w:rPr>
          <w:color w:val="000000" w:themeColor="text1"/>
        </w:rPr>
        <w:t xml:space="preserve"> </w:t>
      </w:r>
      <w:r w:rsidRPr="005C7D21">
        <w:rPr>
          <w:color w:val="000000" w:themeColor="text1"/>
        </w:rPr>
        <w:t xml:space="preserve">Yohan J. John, “The Pentagon of Neuroscience—A Listicle for Understanding the Neuroculture,” Sept 9, 2013, </w:t>
      </w:r>
      <w:hyperlink r:id="rId27">
        <w:r w:rsidRPr="005C7D21">
          <w:rPr>
            <w:rStyle w:val="Hyperlink"/>
            <w:color w:val="000000" w:themeColor="text1"/>
            <w:u w:val="none"/>
          </w:rPr>
          <w:t>https://neurologism.com/2013/09/09/pentagon-of-neuro/.</w:t>
        </w:r>
      </w:hyperlink>
    </w:p>
  </w:footnote>
  <w:footnote w:id="110">
    <w:p w14:paraId="2E96CD7B" w14:textId="2A5CDB30" w:rsidR="001F2D66" w:rsidRPr="005C7D21" w:rsidRDefault="001F2D66">
      <w:pPr>
        <w:pStyle w:val="FootnoteText"/>
        <w:rPr>
          <w:color w:val="000000" w:themeColor="text1"/>
        </w:rPr>
      </w:pPr>
      <w:r w:rsidRPr="005C7D21">
        <w:rPr>
          <w:rStyle w:val="FootnoteReference"/>
          <w:color w:val="000000" w:themeColor="text1"/>
        </w:rPr>
        <w:footnoteRef/>
      </w:r>
      <w:r w:rsidRPr="005C7D21">
        <w:rPr>
          <w:color w:val="000000" w:themeColor="text1"/>
        </w:rPr>
        <w:t xml:space="preserve"> </w:t>
      </w:r>
      <w:r w:rsidRPr="005C7D21">
        <w:rPr>
          <w:color w:val="000000" w:themeColor="text1"/>
        </w:rPr>
        <w:t xml:space="preserve">For presuppositions, see Mohammad Khakshour, “Neuroscience Core Concepts: The Essential Principles of Neuroscience,” </w:t>
      </w:r>
      <w:r w:rsidRPr="005C7D21">
        <w:rPr>
          <w:i/>
          <w:color w:val="000000" w:themeColor="text1"/>
        </w:rPr>
        <w:t xml:space="preserve">Society for Neuroscience </w:t>
      </w:r>
      <w:r w:rsidRPr="005C7D21">
        <w:rPr>
          <w:color w:val="000000" w:themeColor="text1"/>
        </w:rPr>
        <w:t xml:space="preserve">(Sept 2015), </w:t>
      </w:r>
      <w:hyperlink r:id="rId28">
        <w:r w:rsidRPr="005C7D21">
          <w:rPr>
            <w:rStyle w:val="Hyperlink"/>
            <w:color w:val="000000" w:themeColor="text1"/>
            <w:u w:val="none"/>
          </w:rPr>
          <w:t>https://doi.org/10.13140/RG.2.1.2688.4324.</w:t>
        </w:r>
      </w:hyperlink>
    </w:p>
  </w:footnote>
  <w:footnote w:id="111">
    <w:p w14:paraId="1B85E502" w14:textId="6467F606" w:rsidR="001F2D66" w:rsidRPr="005C7D21" w:rsidRDefault="001F2D66">
      <w:pPr>
        <w:pStyle w:val="FootnoteText"/>
        <w:rPr>
          <w:color w:val="000000" w:themeColor="text1"/>
        </w:rPr>
      </w:pPr>
      <w:r w:rsidRPr="005C7D21">
        <w:rPr>
          <w:rStyle w:val="FootnoteReference"/>
          <w:color w:val="000000" w:themeColor="text1"/>
        </w:rPr>
        <w:footnoteRef/>
      </w:r>
      <w:r w:rsidRPr="005C7D21">
        <w:rPr>
          <w:color w:val="000000" w:themeColor="text1"/>
        </w:rPr>
        <w:t xml:space="preserve"> </w:t>
      </w:r>
      <w:r w:rsidRPr="005C7D21">
        <w:rPr>
          <w:color w:val="000000" w:themeColor="text1"/>
        </w:rPr>
        <w:t xml:space="preserve">Gary Marcus, “The Trouble With Brain Science,” </w:t>
      </w:r>
      <w:r w:rsidRPr="005C7D21">
        <w:rPr>
          <w:i/>
          <w:color w:val="000000" w:themeColor="text1"/>
        </w:rPr>
        <w:t xml:space="preserve">New York Times </w:t>
      </w:r>
      <w:r w:rsidRPr="005C7D21">
        <w:rPr>
          <w:color w:val="000000" w:themeColor="text1"/>
        </w:rPr>
        <w:t>(July 11, 2014), http://www.nytimes. com/2014/07/12/opinion/the-trouble-with-brain-science.html. David Powlison pointed out there is no grand unifying theory in the psychologies.</w:t>
      </w:r>
    </w:p>
  </w:footnote>
  <w:footnote w:id="112">
    <w:p w14:paraId="50B1ADF6" w14:textId="2CDA51D3" w:rsidR="0091651B" w:rsidRPr="005C7D21" w:rsidRDefault="0091651B">
      <w:pPr>
        <w:pStyle w:val="FootnoteText"/>
        <w:rPr>
          <w:color w:val="000000" w:themeColor="text1"/>
        </w:rPr>
      </w:pPr>
      <w:r w:rsidRPr="005C7D21">
        <w:rPr>
          <w:rStyle w:val="FootnoteReference"/>
          <w:color w:val="000000" w:themeColor="text1"/>
        </w:rPr>
        <w:footnoteRef/>
      </w:r>
      <w:r w:rsidRPr="005C7D21">
        <w:rPr>
          <w:color w:val="000000" w:themeColor="text1"/>
        </w:rPr>
        <w:t xml:space="preserve"> </w:t>
      </w:r>
      <w:r w:rsidRPr="005C7D21">
        <w:rPr>
          <w:color w:val="000000" w:themeColor="text1"/>
        </w:rPr>
        <w:t xml:space="preserve">United Prime Publications, “Journal of Brain Imaging and Behavior,” 2018, </w:t>
      </w:r>
      <w:hyperlink r:id="rId29">
        <w:r w:rsidRPr="005C7D21">
          <w:rPr>
            <w:rStyle w:val="Hyperlink"/>
            <w:color w:val="000000" w:themeColor="text1"/>
            <w:u w:val="none"/>
          </w:rPr>
          <w:t>https://www.untdprimepub.com/journal-</w:t>
        </w:r>
      </w:hyperlink>
      <w:r w:rsidRPr="005C7D21">
        <w:rPr>
          <w:color w:val="000000" w:themeColor="text1"/>
        </w:rPr>
        <w:t>of-brain-imaging-and-behavior/ (accessed June 17, 2021).</w:t>
      </w:r>
    </w:p>
  </w:footnote>
  <w:footnote w:id="113">
    <w:p w14:paraId="4A120441" w14:textId="1D75D514" w:rsidR="005C7D21" w:rsidRPr="005C7D21" w:rsidRDefault="005C7D21" w:rsidP="005C7D21">
      <w:pPr>
        <w:pStyle w:val="FootnoteText"/>
      </w:pPr>
      <w:r w:rsidRPr="005C7D21">
        <w:rPr>
          <w:rStyle w:val="FootnoteReference"/>
          <w:color w:val="000000" w:themeColor="text1"/>
        </w:rPr>
        <w:footnoteRef/>
      </w:r>
      <w:r w:rsidRPr="005C7D21">
        <w:rPr>
          <w:color w:val="000000" w:themeColor="text1"/>
        </w:rPr>
        <w:t xml:space="preserve"> </w:t>
      </w:r>
      <w:r w:rsidRPr="005C7D21">
        <w:rPr>
          <w:color w:val="000000" w:themeColor="text1"/>
        </w:rPr>
        <w:t xml:space="preserve">Michael R. Egnor, “Why A ‘Budding’ Neuroscientist Is Skeptical of Brain Scans,” </w:t>
      </w:r>
      <w:r w:rsidRPr="005C7D21">
        <w:rPr>
          <w:i/>
          <w:color w:val="000000" w:themeColor="text1"/>
        </w:rPr>
        <w:t xml:space="preserve">Mind Matters News, </w:t>
      </w:r>
      <w:r w:rsidRPr="005C7D21">
        <w:rPr>
          <w:color w:val="000000" w:themeColor="text1"/>
        </w:rPr>
        <w:t xml:space="preserve">April 5, 2021, </w:t>
      </w:r>
      <w:hyperlink r:id="rId30">
        <w:r w:rsidRPr="005C7D21">
          <w:rPr>
            <w:rStyle w:val="Hyperlink"/>
            <w:color w:val="000000" w:themeColor="text1"/>
            <w:u w:val="none"/>
          </w:rPr>
          <w:t>https://mindmatters.ai/2021/04/no-fmri-brain-scans-are-not-reading-our-minds/.</w:t>
        </w:r>
      </w:hyperlink>
      <w:r w:rsidRPr="005C7D21">
        <w:rPr>
          <w:color w:val="000000" w:themeColor="text1"/>
        </w:rPr>
        <w:t xml:space="preserve"> One poster showed statistical significance in a dead fish! See Craig M Bennett, Abigail A. Baird, Michael B. Miller, and George L.</w:t>
      </w:r>
      <w:r w:rsidRPr="005C7D21">
        <w:rPr>
          <w:color w:val="000000" w:themeColor="text1"/>
        </w:rPr>
        <w:t xml:space="preserve"> </w:t>
      </w:r>
      <w:r w:rsidRPr="005C7D21">
        <w:rPr>
          <w:color w:val="000000" w:themeColor="text1"/>
        </w:rPr>
        <w:t xml:space="preserve">Wolford, “Neural Correlates of Interspecies Perspective Taking in The Post-Mortem Atlantic Salmon: An Argument for Multiple Comparisons Correction,” </w:t>
      </w:r>
      <w:r w:rsidRPr="005C7D21">
        <w:rPr>
          <w:i/>
          <w:color w:val="000000" w:themeColor="text1"/>
        </w:rPr>
        <w:t>Poster Presented at the Human Brain Mapping Conference</w:t>
      </w:r>
      <w:r w:rsidRPr="005C7D21">
        <w:rPr>
          <w:color w:val="000000" w:themeColor="text1"/>
        </w:rPr>
        <w:t xml:space="preserve">, San Francisco, 2009. For contrast, see Martha J. Farah, “Brain Images, Babies, and Bathwater: </w:t>
      </w:r>
      <w:r w:rsidRPr="005C7D21">
        <w:t xml:space="preserve">Critiquing Critiques of Functional Neuroimaging,” </w:t>
      </w:r>
      <w:r w:rsidRPr="005C7D21">
        <w:rPr>
          <w:i/>
        </w:rPr>
        <w:t xml:space="preserve">The Hastings Center Report </w:t>
      </w:r>
      <w:r w:rsidRPr="005C7D21">
        <w:t>44, no. s2 (2014): S19-S30.</w:t>
      </w:r>
    </w:p>
    <w:p w14:paraId="77A2FA02" w14:textId="303A0EC0" w:rsidR="005C7D21" w:rsidRDefault="005C7D21">
      <w:pPr>
        <w:pStyle w:val="FootnoteText"/>
      </w:pPr>
    </w:p>
  </w:footnote>
  <w:footnote w:id="114">
    <w:p w14:paraId="119262DD" w14:textId="05D1C79A" w:rsidR="00686823" w:rsidRPr="00686823" w:rsidRDefault="00686823">
      <w:pPr>
        <w:pStyle w:val="FootnoteText"/>
        <w:rPr>
          <w:color w:val="000000" w:themeColor="text1"/>
        </w:rPr>
      </w:pPr>
      <w:r w:rsidRPr="00686823">
        <w:rPr>
          <w:rStyle w:val="FootnoteReference"/>
          <w:color w:val="000000" w:themeColor="text1"/>
        </w:rPr>
        <w:footnoteRef/>
      </w:r>
      <w:r w:rsidRPr="00686823">
        <w:rPr>
          <w:color w:val="000000" w:themeColor="text1"/>
        </w:rPr>
        <w:t xml:space="preserve"> </w:t>
      </w:r>
      <w:r w:rsidRPr="00686823">
        <w:rPr>
          <w:color w:val="000000" w:themeColor="text1"/>
        </w:rPr>
        <w:t xml:space="preserve">Ritchie, </w:t>
      </w:r>
      <w:r w:rsidRPr="00686823">
        <w:rPr>
          <w:i/>
          <w:color w:val="000000" w:themeColor="text1"/>
        </w:rPr>
        <w:t>Science Fictions</w:t>
      </w:r>
      <w:r w:rsidRPr="00686823">
        <w:rPr>
          <w:color w:val="000000" w:themeColor="text1"/>
        </w:rPr>
        <w:t xml:space="preserve">, 33, referring to Anders Eklund, Thomas E. Nichols, and Hans Knutsson, “Cluster Failure Revisited: Impact of First Level Design and Physiological Noise on Cluster False Positive Rates,” </w:t>
      </w:r>
      <w:r w:rsidRPr="00686823">
        <w:rPr>
          <w:i/>
          <w:color w:val="000000" w:themeColor="text1"/>
        </w:rPr>
        <w:t xml:space="preserve">Human Brain Mapping </w:t>
      </w:r>
      <w:r w:rsidRPr="00686823">
        <w:rPr>
          <w:color w:val="000000" w:themeColor="text1"/>
        </w:rPr>
        <w:t>40, no. 7 (May 2019): 2017-32.</w:t>
      </w:r>
    </w:p>
  </w:footnote>
  <w:footnote w:id="115">
    <w:p w14:paraId="1758AFAA" w14:textId="6CD85A25" w:rsidR="00686823" w:rsidRPr="00686823" w:rsidRDefault="00686823">
      <w:pPr>
        <w:pStyle w:val="FootnoteText"/>
        <w:rPr>
          <w:color w:val="000000" w:themeColor="text1"/>
        </w:rPr>
      </w:pPr>
      <w:r w:rsidRPr="00686823">
        <w:rPr>
          <w:rStyle w:val="FootnoteReference"/>
          <w:color w:val="000000" w:themeColor="text1"/>
        </w:rPr>
        <w:footnoteRef/>
      </w:r>
      <w:r w:rsidRPr="00686823">
        <w:rPr>
          <w:color w:val="000000" w:themeColor="text1"/>
        </w:rPr>
        <w:t xml:space="preserve"> </w:t>
      </w:r>
      <w:r w:rsidRPr="00686823">
        <w:rPr>
          <w:color w:val="000000" w:themeColor="text1"/>
        </w:rPr>
        <w:t xml:space="preserve">Ed H. B. M. Gronenschild et al., “The Effects of FreeSurfer Version, Workstation Type, and Macintosh Operating System Version on Anatomical Volume and Cortical Thickness Measurements,” </w:t>
      </w:r>
      <w:r w:rsidRPr="00686823">
        <w:rPr>
          <w:i/>
          <w:color w:val="000000" w:themeColor="text1"/>
        </w:rPr>
        <w:t xml:space="preserve">PLoS One </w:t>
      </w:r>
      <w:r w:rsidRPr="00686823">
        <w:rPr>
          <w:color w:val="000000" w:themeColor="text1"/>
        </w:rPr>
        <w:t xml:space="preserve">7, no. 6 (2012): e38234, </w:t>
      </w:r>
      <w:hyperlink r:id="rId31">
        <w:r w:rsidRPr="00686823">
          <w:rPr>
            <w:rStyle w:val="Hyperlink"/>
            <w:color w:val="000000" w:themeColor="text1"/>
            <w:u w:val="none"/>
          </w:rPr>
          <w:t>https://doi.org/10.1371/journal.pone.0038234.</w:t>
        </w:r>
      </w:hyperlink>
    </w:p>
  </w:footnote>
  <w:footnote w:id="116">
    <w:p w14:paraId="352357DD" w14:textId="77777777" w:rsidR="00686823" w:rsidRPr="00686823" w:rsidRDefault="00686823" w:rsidP="00686823">
      <w:pPr>
        <w:pStyle w:val="FootnoteText"/>
        <w:rPr>
          <w:color w:val="000000" w:themeColor="text1"/>
        </w:rPr>
      </w:pPr>
      <w:r w:rsidRPr="00686823">
        <w:rPr>
          <w:rStyle w:val="FootnoteReference"/>
          <w:color w:val="000000" w:themeColor="text1"/>
        </w:rPr>
        <w:footnoteRef/>
      </w:r>
      <w:r w:rsidRPr="00686823">
        <w:rPr>
          <w:color w:val="000000" w:themeColor="text1"/>
        </w:rPr>
        <w:t xml:space="preserve"> </w:t>
      </w:r>
      <w:r w:rsidRPr="00686823">
        <w:rPr>
          <w:color w:val="000000" w:themeColor="text1"/>
        </w:rPr>
        <w:t>Maxwell L. Elliott et al., “What Is the Test-Retest Reliability of Common Task-Functional MRI Measures?</w:t>
      </w:r>
    </w:p>
    <w:p w14:paraId="61CF18D6" w14:textId="12132FAE" w:rsidR="00686823" w:rsidRPr="00686823" w:rsidRDefault="00686823">
      <w:pPr>
        <w:pStyle w:val="FootnoteText"/>
        <w:rPr>
          <w:color w:val="000000" w:themeColor="text1"/>
        </w:rPr>
      </w:pPr>
      <w:r w:rsidRPr="00686823">
        <w:rPr>
          <w:color w:val="000000" w:themeColor="text1"/>
        </w:rPr>
        <w:t xml:space="preserve">New Empirical Evidence and a Meta-Analysis,” </w:t>
      </w:r>
      <w:r w:rsidRPr="00686823">
        <w:rPr>
          <w:i/>
          <w:color w:val="000000" w:themeColor="text1"/>
        </w:rPr>
        <w:t xml:space="preserve">Psychological Science </w:t>
      </w:r>
      <w:r w:rsidRPr="00686823">
        <w:rPr>
          <w:color w:val="000000" w:themeColor="text1"/>
        </w:rPr>
        <w:t xml:space="preserve">31, no. 7, (2020): 792-806, </w:t>
      </w:r>
      <w:hyperlink r:id="rId32">
        <w:r w:rsidRPr="00686823">
          <w:rPr>
            <w:rStyle w:val="Hyperlink"/>
            <w:color w:val="000000" w:themeColor="text1"/>
            <w:u w:val="none"/>
          </w:rPr>
          <w:t>https://doi.</w:t>
        </w:r>
      </w:hyperlink>
      <w:r w:rsidRPr="00686823">
        <w:rPr>
          <w:color w:val="000000" w:themeColor="text1"/>
        </w:rPr>
        <w:t xml:space="preserve"> org/10.1177/0956797620916786.</w:t>
      </w:r>
    </w:p>
  </w:footnote>
  <w:footnote w:id="117">
    <w:p w14:paraId="4263159C" w14:textId="0518CFA6" w:rsidR="00686823" w:rsidRPr="00686823" w:rsidRDefault="00686823">
      <w:pPr>
        <w:pStyle w:val="FootnoteText"/>
        <w:rPr>
          <w:color w:val="000000" w:themeColor="text1"/>
        </w:rPr>
      </w:pPr>
      <w:r w:rsidRPr="00686823">
        <w:rPr>
          <w:rStyle w:val="FootnoteReference"/>
          <w:color w:val="000000" w:themeColor="text1"/>
        </w:rPr>
        <w:footnoteRef/>
      </w:r>
      <w:r w:rsidRPr="00686823">
        <w:rPr>
          <w:color w:val="000000" w:themeColor="text1"/>
        </w:rPr>
        <w:t xml:space="preserve"> </w:t>
      </w:r>
      <w:r w:rsidRPr="00686823">
        <w:rPr>
          <w:color w:val="000000" w:themeColor="text1"/>
        </w:rPr>
        <w:t xml:space="preserve">Alan Yu, “Scientists Have Used fMRI to Study Brain Activity for Years. Now, Some Question the Results’ Reliability,” </w:t>
      </w:r>
      <w:r w:rsidRPr="00686823">
        <w:rPr>
          <w:i/>
          <w:color w:val="000000" w:themeColor="text1"/>
        </w:rPr>
        <w:t>The Pulse</w:t>
      </w:r>
      <w:r w:rsidRPr="00686823">
        <w:rPr>
          <w:color w:val="000000" w:themeColor="text1"/>
        </w:rPr>
        <w:t xml:space="preserve">, March 19, 2021, </w:t>
      </w:r>
      <w:hyperlink r:id="rId33">
        <w:r w:rsidRPr="00686823">
          <w:rPr>
            <w:rStyle w:val="Hyperlink"/>
            <w:color w:val="000000" w:themeColor="text1"/>
            <w:u w:val="none"/>
          </w:rPr>
          <w:t>https://whyy.org/segments/scientists-used-fmri-to-study-brain-activity-for-</w:t>
        </w:r>
      </w:hyperlink>
      <w:r w:rsidRPr="00686823">
        <w:rPr>
          <w:color w:val="000000" w:themeColor="text1"/>
        </w:rPr>
        <w:t>years-now-some-question-the-results-reliability/.</w:t>
      </w:r>
    </w:p>
  </w:footnote>
  <w:footnote w:id="118">
    <w:p w14:paraId="09010F26" w14:textId="23E2D7F1" w:rsidR="00686823" w:rsidRPr="00686823" w:rsidRDefault="00686823">
      <w:pPr>
        <w:pStyle w:val="FootnoteText"/>
        <w:rPr>
          <w:color w:val="000000" w:themeColor="text1"/>
        </w:rPr>
      </w:pPr>
      <w:r w:rsidRPr="00686823">
        <w:rPr>
          <w:rStyle w:val="FootnoteReference"/>
          <w:color w:val="000000" w:themeColor="text1"/>
        </w:rPr>
        <w:footnoteRef/>
      </w:r>
      <w:r w:rsidRPr="00686823">
        <w:rPr>
          <w:color w:val="000000" w:themeColor="text1"/>
        </w:rPr>
        <w:t xml:space="preserve"> </w:t>
      </w:r>
      <w:r w:rsidRPr="00686823">
        <w:rPr>
          <w:color w:val="000000" w:themeColor="text1"/>
        </w:rPr>
        <w:t xml:space="preserve">Benjamin O. Turner, Erick J. Paul, Michael B. Miller and Aron K. Barbey, “Small Sample Sizes Reduce the Replicability of Task-Based fMRI Studies,” </w:t>
      </w:r>
      <w:r w:rsidRPr="00686823">
        <w:rPr>
          <w:i/>
          <w:color w:val="000000" w:themeColor="text1"/>
        </w:rPr>
        <w:t xml:space="preserve">Communications Biology </w:t>
      </w:r>
      <w:r w:rsidRPr="00686823">
        <w:rPr>
          <w:color w:val="000000" w:themeColor="text1"/>
        </w:rPr>
        <w:t xml:space="preserve">1, no. 62 (Dec 2018): 1-10, </w:t>
      </w:r>
      <w:hyperlink r:id="rId34">
        <w:r w:rsidRPr="00686823">
          <w:rPr>
            <w:rStyle w:val="Hyperlink"/>
            <w:color w:val="000000" w:themeColor="text1"/>
            <w:u w:val="none"/>
          </w:rPr>
          <w:t>https://do0i.</w:t>
        </w:r>
      </w:hyperlink>
      <w:r w:rsidRPr="00686823">
        <w:rPr>
          <w:color w:val="000000" w:themeColor="text1"/>
        </w:rPr>
        <w:t xml:space="preserve"> org/10.1038/s42003-018-0073-z.</w:t>
      </w:r>
    </w:p>
  </w:footnote>
  <w:footnote w:id="119">
    <w:p w14:paraId="6199E7BF" w14:textId="5082FAB6" w:rsidR="00686823" w:rsidRPr="00686823" w:rsidRDefault="00686823">
      <w:pPr>
        <w:pStyle w:val="FootnoteText"/>
        <w:rPr>
          <w:color w:val="000000" w:themeColor="text1"/>
        </w:rPr>
      </w:pPr>
      <w:r w:rsidRPr="00686823">
        <w:rPr>
          <w:rStyle w:val="FootnoteReference"/>
          <w:color w:val="000000" w:themeColor="text1"/>
        </w:rPr>
        <w:footnoteRef/>
      </w:r>
      <w:r w:rsidRPr="00686823">
        <w:rPr>
          <w:color w:val="000000" w:themeColor="text1"/>
        </w:rPr>
        <w:t xml:space="preserve"> </w:t>
      </w:r>
      <w:r w:rsidRPr="00686823">
        <w:rPr>
          <w:color w:val="000000" w:themeColor="text1"/>
        </w:rPr>
        <w:t xml:space="preserve">Russell A. Poldrack et al., “Scanning the Horizon: Towards Transparent and Reproducible Neuroimaging Research,” Nature Reviews Neuroscience 18 (2017): 115–126, </w:t>
      </w:r>
      <w:hyperlink r:id="rId35">
        <w:r w:rsidRPr="00686823">
          <w:rPr>
            <w:rStyle w:val="Hyperlink"/>
            <w:color w:val="000000" w:themeColor="text1"/>
            <w:u w:val="none"/>
          </w:rPr>
          <w:t>https://doi.org/10.1101/059188.</w:t>
        </w:r>
      </w:hyperlink>
    </w:p>
  </w:footnote>
  <w:footnote w:id="120">
    <w:p w14:paraId="4754CF1B" w14:textId="4BD900DE" w:rsidR="00686823" w:rsidRPr="00686823" w:rsidRDefault="00686823">
      <w:pPr>
        <w:pStyle w:val="FootnoteText"/>
        <w:rPr>
          <w:color w:val="000000" w:themeColor="text1"/>
        </w:rPr>
      </w:pPr>
      <w:r w:rsidRPr="00686823">
        <w:rPr>
          <w:rStyle w:val="FootnoteReference"/>
          <w:color w:val="000000" w:themeColor="text1"/>
        </w:rPr>
        <w:footnoteRef/>
      </w:r>
      <w:r w:rsidRPr="00686823">
        <w:rPr>
          <w:color w:val="000000" w:themeColor="text1"/>
        </w:rPr>
        <w:t xml:space="preserve"> </w:t>
      </w:r>
      <w:r w:rsidRPr="00686823">
        <w:rPr>
          <w:color w:val="000000" w:themeColor="text1"/>
        </w:rPr>
        <w:t>Russell A. Poldrack et al., “Scanning the Horizon: Towards Transparent and Reproducible Neuroimaging Research.” Turner et al., “Small Sample Sizes Reduce the Replicability of Task-Based fMRI Studies.”</w:t>
      </w:r>
    </w:p>
  </w:footnote>
  <w:footnote w:id="121">
    <w:p w14:paraId="2FBA26D3" w14:textId="5F031BF0" w:rsidR="00686823" w:rsidRPr="00686823" w:rsidRDefault="00686823">
      <w:pPr>
        <w:pStyle w:val="FootnoteText"/>
        <w:rPr>
          <w:color w:val="000000" w:themeColor="text1"/>
        </w:rPr>
      </w:pPr>
      <w:r w:rsidRPr="00686823">
        <w:rPr>
          <w:rStyle w:val="FootnoteReference"/>
          <w:color w:val="000000" w:themeColor="text1"/>
        </w:rPr>
        <w:footnoteRef/>
      </w:r>
      <w:r w:rsidRPr="00686823">
        <w:rPr>
          <w:color w:val="000000" w:themeColor="text1"/>
        </w:rPr>
        <w:t xml:space="preserve"> </w:t>
      </w:r>
      <w:r w:rsidRPr="00686823">
        <w:rPr>
          <w:color w:val="000000" w:themeColor="text1"/>
        </w:rPr>
        <w:t>As a reminder, desired power is 0.80. Cohen in psychology 1960 was 0.46, Sedlmeier and Gigerenzer in the Journal of Abnormal Psychology in 1986 was 0.37, Bezeau and Graves in 1998-99 in neuropsychology was 0.50.</w:t>
      </w:r>
    </w:p>
  </w:footnote>
  <w:footnote w:id="122">
    <w:p w14:paraId="74E630A9" w14:textId="00F4DDA0" w:rsidR="00686823" w:rsidRPr="00686823" w:rsidRDefault="00686823">
      <w:pPr>
        <w:pStyle w:val="FootnoteText"/>
        <w:rPr>
          <w:color w:val="000000" w:themeColor="text1"/>
        </w:rPr>
      </w:pPr>
      <w:r w:rsidRPr="00686823">
        <w:rPr>
          <w:rStyle w:val="FootnoteReference"/>
          <w:color w:val="000000" w:themeColor="text1"/>
        </w:rPr>
        <w:footnoteRef/>
      </w:r>
      <w:r w:rsidRPr="00686823">
        <w:rPr>
          <w:color w:val="000000" w:themeColor="text1"/>
        </w:rPr>
        <w:t xml:space="preserve"> </w:t>
      </w:r>
      <w:r w:rsidRPr="00686823">
        <w:rPr>
          <w:color w:val="000000" w:themeColor="text1"/>
        </w:rPr>
        <w:t xml:space="preserve">Katherine Button, John Ioannidis, Claire Mokrysz, and Brian Nosek, “Power Failure: Why Small Sample Size Undermines the Reliability of Neuroscience,” </w:t>
      </w:r>
      <w:r w:rsidRPr="00686823">
        <w:rPr>
          <w:i/>
          <w:color w:val="000000" w:themeColor="text1"/>
        </w:rPr>
        <w:t xml:space="preserve">Nature Reviews Neuroscience </w:t>
      </w:r>
      <w:r w:rsidRPr="00686823">
        <w:rPr>
          <w:color w:val="000000" w:themeColor="text1"/>
        </w:rPr>
        <w:t xml:space="preserve">14, no. 6 (2013): 365-376, </w:t>
      </w:r>
      <w:hyperlink r:id="rId36">
        <w:r w:rsidRPr="00686823">
          <w:rPr>
            <w:rStyle w:val="Hyperlink"/>
            <w:color w:val="000000" w:themeColor="text1"/>
            <w:u w:val="none"/>
          </w:rPr>
          <w:t>https://doi.</w:t>
        </w:r>
      </w:hyperlink>
      <w:r w:rsidRPr="00686823">
        <w:rPr>
          <w:color w:val="000000" w:themeColor="text1"/>
        </w:rPr>
        <w:t xml:space="preserve"> org/10.1038/nrn3475.</w:t>
      </w:r>
    </w:p>
  </w:footnote>
  <w:footnote w:id="123">
    <w:p w14:paraId="0FD211A6" w14:textId="1F68D63D" w:rsidR="00686823" w:rsidRPr="00F84651" w:rsidRDefault="00686823">
      <w:pPr>
        <w:pStyle w:val="FootnoteText"/>
        <w:rPr>
          <w:color w:val="000000" w:themeColor="text1"/>
        </w:rPr>
      </w:pPr>
      <w:r w:rsidRPr="00686823">
        <w:rPr>
          <w:rStyle w:val="FootnoteReference"/>
          <w:color w:val="000000" w:themeColor="text1"/>
        </w:rPr>
        <w:footnoteRef/>
      </w:r>
      <w:r w:rsidRPr="00686823">
        <w:rPr>
          <w:color w:val="000000" w:themeColor="text1"/>
        </w:rPr>
        <w:t xml:space="preserve"> </w:t>
      </w:r>
      <w:r w:rsidRPr="00686823">
        <w:rPr>
          <w:color w:val="000000" w:themeColor="text1"/>
        </w:rPr>
        <w:t xml:space="preserve">Denes Szucs and John P. A. Ioannidis, “Empirical Assessment of Published Effect Sizes and Power in the </w:t>
      </w:r>
      <w:r w:rsidRPr="00F84651">
        <w:rPr>
          <w:color w:val="000000" w:themeColor="text1"/>
        </w:rPr>
        <w:t xml:space="preserve">Recent Cognitive Neuroscience and Psychology Literature,” PLOS Biology 15, no. 3 (2017): e2000797, </w:t>
      </w:r>
      <w:hyperlink r:id="rId37">
        <w:r w:rsidRPr="00F84651">
          <w:rPr>
            <w:rStyle w:val="Hyperlink"/>
            <w:color w:val="000000" w:themeColor="text1"/>
            <w:u w:val="none"/>
          </w:rPr>
          <w:t>https://doi.</w:t>
        </w:r>
      </w:hyperlink>
      <w:r w:rsidRPr="00F84651">
        <w:rPr>
          <w:color w:val="000000" w:themeColor="text1"/>
        </w:rPr>
        <w:t xml:space="preserve"> org/10.1371/journal.pbio.2000797.</w:t>
      </w:r>
    </w:p>
  </w:footnote>
  <w:footnote w:id="124">
    <w:p w14:paraId="3664FC14" w14:textId="45275C78" w:rsidR="00686823" w:rsidRPr="00F84651" w:rsidRDefault="00686823">
      <w:pPr>
        <w:pStyle w:val="FootnoteText"/>
        <w:rPr>
          <w:color w:val="000000" w:themeColor="text1"/>
        </w:rPr>
      </w:pPr>
      <w:r w:rsidRPr="00F84651">
        <w:rPr>
          <w:rStyle w:val="FootnoteReference"/>
          <w:color w:val="000000" w:themeColor="text1"/>
        </w:rPr>
        <w:footnoteRef/>
      </w:r>
      <w:r w:rsidRPr="00F84651">
        <w:rPr>
          <w:color w:val="000000" w:themeColor="text1"/>
        </w:rPr>
        <w:t xml:space="preserve"> </w:t>
      </w:r>
      <w:r w:rsidRPr="00F84651">
        <w:rPr>
          <w:color w:val="000000" w:themeColor="text1"/>
        </w:rPr>
        <w:t xml:space="preserve">Chambers, </w:t>
      </w:r>
      <w:r w:rsidRPr="00F84651">
        <w:rPr>
          <w:i/>
          <w:color w:val="000000" w:themeColor="text1"/>
        </w:rPr>
        <w:t xml:space="preserve">Seven Sins of Psychology, </w:t>
      </w:r>
      <w:r w:rsidRPr="00F84651">
        <w:rPr>
          <w:color w:val="000000" w:themeColor="text1"/>
        </w:rPr>
        <w:t>31-33.</w:t>
      </w:r>
    </w:p>
  </w:footnote>
  <w:footnote w:id="125">
    <w:p w14:paraId="497CCE12" w14:textId="24439632" w:rsidR="00686823" w:rsidRPr="00F84651" w:rsidRDefault="00686823">
      <w:pPr>
        <w:pStyle w:val="FootnoteText"/>
        <w:rPr>
          <w:color w:val="000000" w:themeColor="text1"/>
        </w:rPr>
      </w:pPr>
      <w:r w:rsidRPr="00F84651">
        <w:rPr>
          <w:rStyle w:val="FootnoteReference"/>
          <w:color w:val="000000" w:themeColor="text1"/>
        </w:rPr>
        <w:footnoteRef/>
      </w:r>
      <w:r w:rsidRPr="00F84651">
        <w:rPr>
          <w:color w:val="000000" w:themeColor="text1"/>
        </w:rPr>
        <w:t xml:space="preserve"> </w:t>
      </w:r>
      <w:r w:rsidRPr="00F84651">
        <w:rPr>
          <w:color w:val="000000" w:themeColor="text1"/>
        </w:rPr>
        <w:t xml:space="preserve">Joshua Carp, “The Secret Life of Experiments: Methods Reporting in the fMRI Literature,” </w:t>
      </w:r>
      <w:r w:rsidRPr="00F84651">
        <w:rPr>
          <w:i/>
          <w:color w:val="000000" w:themeColor="text1"/>
        </w:rPr>
        <w:t xml:space="preserve">Neuroimage </w:t>
      </w:r>
      <w:r w:rsidRPr="00F84651">
        <w:rPr>
          <w:color w:val="000000" w:themeColor="text1"/>
        </w:rPr>
        <w:t xml:space="preserve">63, no. 1 (Jul 2012): 289-300, </w:t>
      </w:r>
      <w:hyperlink r:id="rId38">
        <w:r w:rsidRPr="00F84651">
          <w:rPr>
            <w:rStyle w:val="Hyperlink"/>
            <w:color w:val="000000" w:themeColor="text1"/>
            <w:u w:val="none"/>
          </w:rPr>
          <w:t>https://doi.org/10.1016/j.neuroimage.2012.07.004.</w:t>
        </w:r>
      </w:hyperlink>
    </w:p>
  </w:footnote>
  <w:footnote w:id="126">
    <w:p w14:paraId="6985AEEF" w14:textId="4FE5D0D5" w:rsidR="00F84651" w:rsidRPr="00F84651" w:rsidRDefault="00F84651">
      <w:pPr>
        <w:pStyle w:val="FootnoteText"/>
        <w:rPr>
          <w:color w:val="000000" w:themeColor="text1"/>
        </w:rPr>
      </w:pPr>
      <w:r w:rsidRPr="00F84651">
        <w:rPr>
          <w:rStyle w:val="FootnoteReference"/>
          <w:color w:val="000000" w:themeColor="text1"/>
        </w:rPr>
        <w:footnoteRef/>
      </w:r>
      <w:r w:rsidRPr="00F84651">
        <w:rPr>
          <w:color w:val="000000" w:themeColor="text1"/>
        </w:rPr>
        <w:t xml:space="preserve"> </w:t>
      </w:r>
      <w:r w:rsidRPr="00F84651">
        <w:rPr>
          <w:color w:val="000000" w:themeColor="text1"/>
        </w:rPr>
        <w:t xml:space="preserve">Robin G. Jennings and John D. Van Horn, “Publication Bias in Neuroimaging Research: Implications for Meta-Analyses,” </w:t>
      </w:r>
      <w:r w:rsidRPr="00F84651">
        <w:rPr>
          <w:i/>
          <w:color w:val="000000" w:themeColor="text1"/>
        </w:rPr>
        <w:t xml:space="preserve">Neuroinformatics </w:t>
      </w:r>
      <w:r w:rsidRPr="00F84651">
        <w:rPr>
          <w:color w:val="000000" w:themeColor="text1"/>
        </w:rPr>
        <w:t xml:space="preserve">10, no. 1 (2012): 67–80, </w:t>
      </w:r>
      <w:hyperlink r:id="rId39">
        <w:r w:rsidRPr="00F84651">
          <w:rPr>
            <w:rStyle w:val="Hyperlink"/>
            <w:color w:val="000000" w:themeColor="text1"/>
            <w:u w:val="none"/>
          </w:rPr>
          <w:t>https://doi.org/10.1007/s12021-011-9125-y.</w:t>
        </w:r>
      </w:hyperlink>
    </w:p>
  </w:footnote>
  <w:footnote w:id="127">
    <w:p w14:paraId="2B6A89EE" w14:textId="25E469D1" w:rsidR="00F84651" w:rsidRPr="00F84651" w:rsidRDefault="00F84651">
      <w:pPr>
        <w:pStyle w:val="FootnoteText"/>
        <w:rPr>
          <w:color w:val="000000" w:themeColor="text1"/>
        </w:rPr>
      </w:pPr>
      <w:r w:rsidRPr="00F84651">
        <w:rPr>
          <w:rStyle w:val="FootnoteReference"/>
          <w:color w:val="000000" w:themeColor="text1"/>
        </w:rPr>
        <w:footnoteRef/>
      </w:r>
      <w:r w:rsidRPr="00F84651">
        <w:rPr>
          <w:color w:val="000000" w:themeColor="text1"/>
        </w:rPr>
        <w:t xml:space="preserve"> </w:t>
      </w:r>
      <w:r w:rsidRPr="00F84651">
        <w:rPr>
          <w:color w:val="000000" w:themeColor="text1"/>
        </w:rPr>
        <w:t>The Society for Neuroscience had a satellite symposium on data sharing in 2007.</w:t>
      </w:r>
    </w:p>
  </w:footnote>
  <w:footnote w:id="128">
    <w:p w14:paraId="07968684" w14:textId="3E895EF6" w:rsidR="00F84651" w:rsidRPr="00F84651" w:rsidRDefault="00F84651">
      <w:pPr>
        <w:pStyle w:val="FootnoteText"/>
        <w:rPr>
          <w:color w:val="000000" w:themeColor="text1"/>
        </w:rPr>
      </w:pPr>
      <w:r w:rsidRPr="00F84651">
        <w:rPr>
          <w:rStyle w:val="FootnoteReference"/>
          <w:color w:val="000000" w:themeColor="text1"/>
        </w:rPr>
        <w:footnoteRef/>
      </w:r>
      <w:r w:rsidRPr="00F84651">
        <w:rPr>
          <w:color w:val="000000" w:themeColor="text1"/>
        </w:rPr>
        <w:t xml:space="preserve"> </w:t>
      </w:r>
      <w:r w:rsidRPr="00F84651">
        <w:rPr>
          <w:color w:val="000000" w:themeColor="text1"/>
        </w:rPr>
        <w:t>Most recently, NeuroMorpho.org.</w:t>
      </w:r>
    </w:p>
  </w:footnote>
  <w:footnote w:id="129">
    <w:p w14:paraId="01CDC634" w14:textId="77777777" w:rsidR="00F84651" w:rsidRPr="00F84651" w:rsidRDefault="00F84651" w:rsidP="00F84651">
      <w:pPr>
        <w:pStyle w:val="FootnoteText"/>
        <w:rPr>
          <w:color w:val="000000" w:themeColor="text1"/>
        </w:rPr>
      </w:pPr>
      <w:r w:rsidRPr="00F84651">
        <w:rPr>
          <w:rStyle w:val="FootnoteReference"/>
          <w:color w:val="000000" w:themeColor="text1"/>
        </w:rPr>
        <w:footnoteRef/>
      </w:r>
      <w:r w:rsidRPr="00F84651">
        <w:rPr>
          <w:color w:val="000000" w:themeColor="text1"/>
        </w:rPr>
        <w:t xml:space="preserve"> </w:t>
      </w:r>
      <w:r w:rsidRPr="00F84651">
        <w:rPr>
          <w:color w:val="000000" w:themeColor="text1"/>
        </w:rPr>
        <w:t xml:space="preserve">John A. Borghi and Ana E. Van Gulick, “Data Management and Sharing in Neuroimaging: Practices and Perceptions of MRI Researchers,” </w:t>
      </w:r>
      <w:r w:rsidRPr="00F84651">
        <w:rPr>
          <w:i/>
          <w:color w:val="000000" w:themeColor="text1"/>
        </w:rPr>
        <w:t xml:space="preserve">PLoS One </w:t>
      </w:r>
      <w:r w:rsidRPr="00F84651">
        <w:rPr>
          <w:color w:val="000000" w:themeColor="text1"/>
        </w:rPr>
        <w:t xml:space="preserve">2018; 13(7): e0200562, </w:t>
      </w:r>
      <w:hyperlink r:id="rId40">
        <w:r w:rsidRPr="00F84651">
          <w:rPr>
            <w:rStyle w:val="Hyperlink"/>
            <w:color w:val="000000" w:themeColor="text1"/>
            <w:u w:val="none"/>
          </w:rPr>
          <w:t>https://doi.org/10.1371/journal.pone.0200562.</w:t>
        </w:r>
      </w:hyperlink>
    </w:p>
    <w:p w14:paraId="23C3C288" w14:textId="4E396C11" w:rsidR="00F84651" w:rsidRDefault="00F84651">
      <w:pPr>
        <w:pStyle w:val="FootnoteText"/>
      </w:pPr>
    </w:p>
  </w:footnote>
  <w:footnote w:id="130">
    <w:p w14:paraId="37E555DB" w14:textId="162E6E84" w:rsidR="00F84651" w:rsidRPr="00B45055" w:rsidRDefault="00F84651">
      <w:pPr>
        <w:pStyle w:val="FootnoteText"/>
        <w:rPr>
          <w:color w:val="000000" w:themeColor="text1"/>
        </w:rPr>
      </w:pPr>
      <w:r w:rsidRPr="00B45055">
        <w:rPr>
          <w:rStyle w:val="FootnoteReference"/>
          <w:color w:val="000000" w:themeColor="text1"/>
        </w:rPr>
        <w:footnoteRef/>
      </w:r>
      <w:r w:rsidRPr="00B45055">
        <w:rPr>
          <w:color w:val="000000" w:themeColor="text1"/>
        </w:rPr>
        <w:t xml:space="preserve"> </w:t>
      </w:r>
      <w:r w:rsidRPr="00B45055">
        <w:rPr>
          <w:color w:val="000000" w:themeColor="text1"/>
        </w:rPr>
        <w:t xml:space="preserve">Deena Skolnick Weisberg, Frank C. Keil, et al., “The Seductive Allure of Neuroscience Explanations,” </w:t>
      </w:r>
      <w:r w:rsidRPr="00B45055">
        <w:rPr>
          <w:i/>
          <w:color w:val="000000" w:themeColor="text1"/>
        </w:rPr>
        <w:t xml:space="preserve">Journal of Cognitive Neuroscience </w:t>
      </w:r>
      <w:r w:rsidRPr="00B45055">
        <w:rPr>
          <w:color w:val="000000" w:themeColor="text1"/>
        </w:rPr>
        <w:t xml:space="preserve">20, no. 3 (Mar 2008): 470-477, </w:t>
      </w:r>
      <w:hyperlink r:id="rId41">
        <w:r w:rsidRPr="00B45055">
          <w:rPr>
            <w:rStyle w:val="Hyperlink"/>
            <w:color w:val="000000" w:themeColor="text1"/>
            <w:u w:val="none"/>
          </w:rPr>
          <w:t>https://doi.org/10.1162/jocn.2008.20040.</w:t>
        </w:r>
      </w:hyperlink>
    </w:p>
  </w:footnote>
  <w:footnote w:id="131">
    <w:p w14:paraId="7CC62C32" w14:textId="3828642E" w:rsidR="00B45055" w:rsidRPr="00B45055" w:rsidRDefault="00B45055">
      <w:pPr>
        <w:pStyle w:val="FootnoteText"/>
        <w:rPr>
          <w:color w:val="000000" w:themeColor="text1"/>
        </w:rPr>
      </w:pPr>
      <w:r w:rsidRPr="00B45055">
        <w:rPr>
          <w:rStyle w:val="FootnoteReference"/>
          <w:color w:val="000000" w:themeColor="text1"/>
        </w:rPr>
        <w:footnoteRef/>
      </w:r>
      <w:r w:rsidRPr="00B45055">
        <w:rPr>
          <w:color w:val="000000" w:themeColor="text1"/>
        </w:rPr>
        <w:t xml:space="preserve"> </w:t>
      </w:r>
      <w:r w:rsidRPr="00B45055">
        <w:rPr>
          <w:color w:val="000000" w:themeColor="text1"/>
        </w:rPr>
        <w:t xml:space="preserve">Peter Simons, “People Think Research is More Credible When It Includes ‘Extraneous’ Brain Images,” May 7, 2018, </w:t>
      </w:r>
      <w:hyperlink r:id="rId42">
        <w:r w:rsidRPr="00B45055">
          <w:rPr>
            <w:rStyle w:val="Hyperlink"/>
            <w:color w:val="000000" w:themeColor="text1"/>
            <w:u w:val="none"/>
          </w:rPr>
          <w:t>https://www.madinamerica.com/2018/05/people-think-research-credible-includes-extraneous-brain-images-mia/.</w:t>
        </w:r>
      </w:hyperlink>
    </w:p>
  </w:footnote>
  <w:footnote w:id="132">
    <w:p w14:paraId="3D9B19F1" w14:textId="1A43DAAA" w:rsidR="00B45055" w:rsidRPr="0095125B" w:rsidRDefault="00B45055">
      <w:pPr>
        <w:pStyle w:val="FootnoteText"/>
        <w:rPr>
          <w:color w:val="000000" w:themeColor="text1"/>
        </w:rPr>
      </w:pPr>
      <w:r w:rsidRPr="0095125B">
        <w:rPr>
          <w:rStyle w:val="FootnoteReference"/>
          <w:color w:val="000000" w:themeColor="text1"/>
        </w:rPr>
        <w:footnoteRef/>
      </w:r>
      <w:r w:rsidRPr="0095125B">
        <w:rPr>
          <w:color w:val="000000" w:themeColor="text1"/>
        </w:rPr>
        <w:t xml:space="preserve"> </w:t>
      </w:r>
      <w:r w:rsidRPr="0095125B">
        <w:rPr>
          <w:color w:val="000000" w:themeColor="text1"/>
        </w:rPr>
        <w:t xml:space="preserve">Kenji Ikeda et al., “Neuroscientific Information Bias in Metacomprehension: The Effect of Brain Images on Metacomprehension Judgment of Neuroscience Research,” </w:t>
      </w:r>
      <w:r w:rsidRPr="0095125B">
        <w:rPr>
          <w:i/>
          <w:color w:val="000000" w:themeColor="text1"/>
        </w:rPr>
        <w:t xml:space="preserve">Psychonomic Bulletin &amp; Review </w:t>
      </w:r>
      <w:r w:rsidRPr="0095125B">
        <w:rPr>
          <w:color w:val="000000" w:themeColor="text1"/>
        </w:rPr>
        <w:t xml:space="preserve">20, no. 6 (2013): 1357–1363, </w:t>
      </w:r>
      <w:hyperlink r:id="rId43">
        <w:r w:rsidRPr="0095125B">
          <w:rPr>
            <w:rStyle w:val="Hyperlink"/>
            <w:color w:val="000000" w:themeColor="text1"/>
            <w:u w:val="none"/>
          </w:rPr>
          <w:t>https://doi.org/10.3758/s13423-013-0457-5.</w:t>
        </w:r>
      </w:hyperlink>
    </w:p>
  </w:footnote>
  <w:footnote w:id="133">
    <w:p w14:paraId="342E68CD" w14:textId="706CD568" w:rsidR="00B45055" w:rsidRPr="0095125B" w:rsidRDefault="00B45055">
      <w:pPr>
        <w:pStyle w:val="FootnoteText"/>
        <w:rPr>
          <w:color w:val="000000" w:themeColor="text1"/>
        </w:rPr>
      </w:pPr>
      <w:r w:rsidRPr="0095125B">
        <w:rPr>
          <w:rStyle w:val="FootnoteReference"/>
          <w:color w:val="000000" w:themeColor="text1"/>
        </w:rPr>
        <w:footnoteRef/>
      </w:r>
      <w:r w:rsidRPr="0095125B">
        <w:rPr>
          <w:color w:val="000000" w:themeColor="text1"/>
        </w:rPr>
        <w:t xml:space="preserve"> </w:t>
      </w:r>
      <w:r w:rsidRPr="0095125B">
        <w:rPr>
          <w:color w:val="000000" w:themeColor="text1"/>
        </w:rPr>
        <w:t>Sabrina S. Ali et al., “Empirical Neuroenchantment: From Reading Minds to Thinking Critically,” Frontiers in Human Neuroscience 8 (May 2014): 357, https://doi.org/10.3389/fnhum.2014.00357.</w:t>
      </w:r>
    </w:p>
  </w:footnote>
  <w:footnote w:id="134">
    <w:p w14:paraId="53263757" w14:textId="7DF574ED" w:rsidR="00844B68" w:rsidRPr="0095125B" w:rsidRDefault="00844B68">
      <w:pPr>
        <w:pStyle w:val="FootnoteText"/>
        <w:rPr>
          <w:color w:val="000000" w:themeColor="text1"/>
        </w:rPr>
      </w:pPr>
      <w:r w:rsidRPr="0095125B">
        <w:rPr>
          <w:rStyle w:val="FootnoteReference"/>
          <w:color w:val="000000" w:themeColor="text1"/>
        </w:rPr>
        <w:footnoteRef/>
      </w:r>
      <w:r w:rsidRPr="0095125B">
        <w:rPr>
          <w:color w:val="000000" w:themeColor="text1"/>
        </w:rPr>
        <w:t xml:space="preserve"> </w:t>
      </w:r>
      <w:r w:rsidRPr="0095125B">
        <w:rPr>
          <w:color w:val="000000" w:themeColor="text1"/>
        </w:rPr>
        <w:t xml:space="preserve">Diego Fernandez-Duque, “Superfluous Neuroscience Information Makes Explanations of Psychological Phenomena More Appealing,” </w:t>
      </w:r>
      <w:r w:rsidRPr="0095125B">
        <w:rPr>
          <w:i/>
          <w:color w:val="000000" w:themeColor="text1"/>
        </w:rPr>
        <w:t xml:space="preserve">Journal of Cognitive Neuroscience </w:t>
      </w:r>
      <w:r w:rsidRPr="0095125B">
        <w:rPr>
          <w:color w:val="000000" w:themeColor="text1"/>
        </w:rPr>
        <w:t xml:space="preserve">27, no. 5 (Nov 2014): 1-19, </w:t>
      </w:r>
      <w:hyperlink r:id="rId44">
        <w:r w:rsidRPr="0095125B">
          <w:rPr>
            <w:rStyle w:val="Hyperlink"/>
            <w:color w:val="000000" w:themeColor="text1"/>
            <w:u w:val="none"/>
          </w:rPr>
          <w:t>https://doi.org/10.1162/</w:t>
        </w:r>
      </w:hyperlink>
      <w:r w:rsidRPr="0095125B">
        <w:rPr>
          <w:color w:val="000000" w:themeColor="text1"/>
        </w:rPr>
        <w:t xml:space="preserve"> jocn_a_00750.</w:t>
      </w:r>
    </w:p>
  </w:footnote>
  <w:footnote w:id="135">
    <w:p w14:paraId="1CA77514" w14:textId="4C93B2CA" w:rsidR="0095125B" w:rsidRPr="0095125B" w:rsidRDefault="0095125B">
      <w:pPr>
        <w:pStyle w:val="FootnoteText"/>
        <w:rPr>
          <w:color w:val="000000" w:themeColor="text1"/>
        </w:rPr>
      </w:pPr>
      <w:r w:rsidRPr="0095125B">
        <w:rPr>
          <w:rStyle w:val="FootnoteReference"/>
          <w:color w:val="000000" w:themeColor="text1"/>
        </w:rPr>
        <w:footnoteRef/>
      </w:r>
      <w:r w:rsidRPr="0095125B">
        <w:rPr>
          <w:color w:val="000000" w:themeColor="text1"/>
        </w:rPr>
        <w:t xml:space="preserve"> </w:t>
      </w:r>
      <w:r w:rsidRPr="0095125B">
        <w:rPr>
          <w:color w:val="000000" w:themeColor="text1"/>
        </w:rPr>
        <w:t xml:space="preserve">Rebecca E. Rhodes, Fernando Rodriguez, and Priti Shah, “Explaining the Alluring Influence of Neuroscience Information on Scientific Reasoning,” </w:t>
      </w:r>
      <w:r w:rsidRPr="0095125B">
        <w:rPr>
          <w:i/>
          <w:color w:val="000000" w:themeColor="text1"/>
        </w:rPr>
        <w:t xml:space="preserve">Journal of Experimental Psychology: Learning, Memory, and Cognition </w:t>
      </w:r>
      <w:r w:rsidRPr="0095125B">
        <w:rPr>
          <w:color w:val="000000" w:themeColor="text1"/>
        </w:rPr>
        <w:t xml:space="preserve">40, no. 5 (May 2014): </w:t>
      </w:r>
      <w:hyperlink r:id="rId45">
        <w:r w:rsidRPr="0095125B">
          <w:rPr>
            <w:rStyle w:val="Hyperlink"/>
            <w:color w:val="000000" w:themeColor="text1"/>
            <w:u w:val="none"/>
          </w:rPr>
          <w:t>https://doi.org/10.1037/a0036844.</w:t>
        </w:r>
      </w:hyperlink>
    </w:p>
  </w:footnote>
  <w:footnote w:id="136">
    <w:p w14:paraId="67EC13A8" w14:textId="6E81A074" w:rsidR="0095125B" w:rsidRPr="0095125B" w:rsidRDefault="0095125B" w:rsidP="0095125B">
      <w:pPr>
        <w:pStyle w:val="FootnoteText"/>
        <w:rPr>
          <w:color w:val="000000" w:themeColor="text1"/>
        </w:rPr>
      </w:pPr>
      <w:r w:rsidRPr="0095125B">
        <w:rPr>
          <w:rStyle w:val="FootnoteReference"/>
          <w:color w:val="000000" w:themeColor="text1"/>
        </w:rPr>
        <w:footnoteRef/>
      </w:r>
      <w:r w:rsidRPr="0095125B">
        <w:rPr>
          <w:color w:val="000000" w:themeColor="text1"/>
        </w:rPr>
        <w:t xml:space="preserve"> </w:t>
      </w:r>
      <w:r w:rsidRPr="0095125B">
        <w:rPr>
          <w:color w:val="000000" w:themeColor="text1"/>
        </w:rPr>
        <w:t xml:space="preserve">Cayce J. Hook and Martha J. Farah, “Look Again: Effects of Brain Images and Mind–Brain Dualism on Lay Evaluations of Research,” </w:t>
      </w:r>
      <w:r w:rsidRPr="0095125B">
        <w:rPr>
          <w:i/>
          <w:color w:val="000000" w:themeColor="text1"/>
        </w:rPr>
        <w:t xml:space="preserve">Journal of Cognitive Neuroscience </w:t>
      </w:r>
      <w:r w:rsidRPr="0095125B">
        <w:rPr>
          <w:color w:val="000000" w:themeColor="text1"/>
        </w:rPr>
        <w:t xml:space="preserve">25, no. 9 (2013): 1397-1405, </w:t>
      </w:r>
      <w:hyperlink r:id="rId46">
        <w:r w:rsidRPr="0095125B">
          <w:rPr>
            <w:rStyle w:val="Hyperlink"/>
            <w:color w:val="000000" w:themeColor="text1"/>
            <w:u w:val="none"/>
          </w:rPr>
          <w:t>https://doi.org/10.1162/</w:t>
        </w:r>
      </w:hyperlink>
      <w:r w:rsidRPr="0095125B">
        <w:rPr>
          <w:color w:val="000000" w:themeColor="text1"/>
        </w:rPr>
        <w:t xml:space="preserve"> jocn_a_00407. Robert B. Michael et al., “On the (Non) Persuasive Power of a Brain Image,” </w:t>
      </w:r>
      <w:r w:rsidRPr="0095125B">
        <w:rPr>
          <w:i/>
          <w:color w:val="000000" w:themeColor="text1"/>
        </w:rPr>
        <w:t xml:space="preserve">Psychonomic Bulletin &amp; Review </w:t>
      </w:r>
      <w:r w:rsidRPr="0095125B">
        <w:rPr>
          <w:color w:val="000000" w:themeColor="text1"/>
        </w:rPr>
        <w:t xml:space="preserve">20, no. 4 (Feb 2013): 720–725, </w:t>
      </w:r>
      <w:hyperlink r:id="rId47">
        <w:r w:rsidRPr="0095125B">
          <w:rPr>
            <w:rStyle w:val="Hyperlink"/>
            <w:color w:val="000000" w:themeColor="text1"/>
            <w:u w:val="none"/>
          </w:rPr>
          <w:t>https://doi.org/10.3758/s13423-013-0391-6.</w:t>
        </w:r>
      </w:hyperlink>
      <w:r w:rsidRPr="0095125B">
        <w:rPr>
          <w:color w:val="000000" w:themeColor="text1"/>
        </w:rPr>
        <w:t xml:space="preserve"> Nick J. Schweitzer, Denise</w:t>
      </w:r>
      <w:r w:rsidRPr="0095125B">
        <w:rPr>
          <w:color w:val="000000" w:themeColor="text1"/>
        </w:rPr>
        <w:t xml:space="preserve"> </w:t>
      </w:r>
      <w:r w:rsidRPr="0095125B">
        <w:rPr>
          <w:color w:val="000000" w:themeColor="text1"/>
        </w:rPr>
        <w:t xml:space="preserve">A. Baker, and Evan F. Risko, “Fooled by the Brain: Re-Examining the Influence of Neuroimages,” </w:t>
      </w:r>
      <w:r w:rsidRPr="0095125B">
        <w:rPr>
          <w:i/>
          <w:color w:val="000000" w:themeColor="text1"/>
        </w:rPr>
        <w:t xml:space="preserve">Cognition </w:t>
      </w:r>
      <w:r w:rsidRPr="0095125B">
        <w:rPr>
          <w:color w:val="000000" w:themeColor="text1"/>
        </w:rPr>
        <w:t xml:space="preserve">129, no. 3 (2013): 501–511, </w:t>
      </w:r>
      <w:hyperlink r:id="rId48">
        <w:r w:rsidRPr="0095125B">
          <w:rPr>
            <w:rStyle w:val="Hyperlink"/>
            <w:color w:val="000000" w:themeColor="text1"/>
            <w:u w:val="none"/>
          </w:rPr>
          <w:t>https://doi.org/10.1016/j.cognition.2013.08.009.</w:t>
        </w:r>
      </w:hyperlink>
    </w:p>
    <w:p w14:paraId="20F1BAF1" w14:textId="66BB13EF" w:rsidR="0095125B" w:rsidRDefault="0095125B">
      <w:pPr>
        <w:pStyle w:val="FootnoteText"/>
      </w:pPr>
    </w:p>
  </w:footnote>
  <w:footnote w:id="137">
    <w:p w14:paraId="4F3C5413" w14:textId="4FDB3C6B" w:rsidR="00A172AD" w:rsidRPr="00A172AD" w:rsidRDefault="00A172AD">
      <w:pPr>
        <w:pStyle w:val="FootnoteText"/>
        <w:rPr>
          <w:color w:val="000000" w:themeColor="text1"/>
        </w:rPr>
      </w:pPr>
      <w:r w:rsidRPr="00A172AD">
        <w:rPr>
          <w:rStyle w:val="FootnoteReference"/>
          <w:color w:val="000000" w:themeColor="text1"/>
        </w:rPr>
        <w:footnoteRef/>
      </w:r>
      <w:r w:rsidRPr="00A172AD">
        <w:rPr>
          <w:color w:val="000000" w:themeColor="text1"/>
        </w:rPr>
        <w:t xml:space="preserve"> </w:t>
      </w:r>
      <w:r w:rsidRPr="00A172AD">
        <w:rPr>
          <w:color w:val="000000" w:themeColor="text1"/>
        </w:rPr>
        <w:t xml:space="preserve">Sally Satel and Scott Lilienfield, </w:t>
      </w:r>
      <w:r w:rsidRPr="00A172AD">
        <w:rPr>
          <w:i/>
          <w:color w:val="000000" w:themeColor="text1"/>
        </w:rPr>
        <w:t xml:space="preserve">Brainwashed: The Seductive Appeal of Mindless Neuroscience </w:t>
      </w:r>
      <w:r w:rsidRPr="00A172AD">
        <w:rPr>
          <w:color w:val="000000" w:themeColor="text1"/>
        </w:rPr>
        <w:t>(New York: Basic Books, 2013).</w:t>
      </w:r>
    </w:p>
  </w:footnote>
  <w:footnote w:id="138">
    <w:p w14:paraId="65BD05C8" w14:textId="0E2D4A8A" w:rsidR="00A172AD" w:rsidRPr="00A172AD" w:rsidRDefault="00A172AD">
      <w:pPr>
        <w:pStyle w:val="FootnoteText"/>
        <w:rPr>
          <w:color w:val="000000" w:themeColor="text1"/>
        </w:rPr>
      </w:pPr>
      <w:r w:rsidRPr="00A172AD">
        <w:rPr>
          <w:rStyle w:val="FootnoteReference"/>
          <w:color w:val="000000" w:themeColor="text1"/>
        </w:rPr>
        <w:footnoteRef/>
      </w:r>
      <w:r w:rsidRPr="00A172AD">
        <w:rPr>
          <w:color w:val="000000" w:themeColor="text1"/>
        </w:rPr>
        <w:t xml:space="preserve"> </w:t>
      </w:r>
      <w:r w:rsidRPr="00A172AD">
        <w:rPr>
          <w:color w:val="000000" w:themeColor="text1"/>
        </w:rPr>
        <w:t xml:space="preserve">Satel and Lilienfield, </w:t>
      </w:r>
      <w:r w:rsidRPr="00A172AD">
        <w:rPr>
          <w:i/>
          <w:color w:val="000000" w:themeColor="text1"/>
        </w:rPr>
        <w:t>Brainwashed</w:t>
      </w:r>
      <w:r w:rsidRPr="00A172AD">
        <w:rPr>
          <w:color w:val="000000" w:themeColor="text1"/>
        </w:rPr>
        <w:t>, xiv.</w:t>
      </w:r>
    </w:p>
  </w:footnote>
  <w:footnote w:id="139">
    <w:p w14:paraId="15643620" w14:textId="5F9C2ED8" w:rsidR="00A172AD" w:rsidRPr="00A172AD" w:rsidRDefault="00A172AD">
      <w:pPr>
        <w:pStyle w:val="FootnoteText"/>
        <w:rPr>
          <w:color w:val="000000" w:themeColor="text1"/>
        </w:rPr>
      </w:pPr>
      <w:r w:rsidRPr="00A172AD">
        <w:rPr>
          <w:rStyle w:val="FootnoteReference"/>
          <w:color w:val="000000" w:themeColor="text1"/>
        </w:rPr>
        <w:footnoteRef/>
      </w:r>
      <w:r w:rsidRPr="00A172AD">
        <w:rPr>
          <w:color w:val="000000" w:themeColor="text1"/>
        </w:rPr>
        <w:t xml:space="preserve"> </w:t>
      </w:r>
      <w:r w:rsidRPr="00A172AD">
        <w:rPr>
          <w:color w:val="000000" w:themeColor="text1"/>
        </w:rPr>
        <w:t xml:space="preserve">Satel and Lilienfield, </w:t>
      </w:r>
      <w:r w:rsidRPr="00A172AD">
        <w:rPr>
          <w:i/>
          <w:color w:val="000000" w:themeColor="text1"/>
        </w:rPr>
        <w:t xml:space="preserve">Brainwashed, </w:t>
      </w:r>
      <w:r w:rsidRPr="00A172AD">
        <w:rPr>
          <w:color w:val="000000" w:themeColor="text1"/>
        </w:rPr>
        <w:t>xix.</w:t>
      </w:r>
    </w:p>
  </w:footnote>
  <w:footnote w:id="140">
    <w:p w14:paraId="09544CCD" w14:textId="5BC678E0" w:rsidR="00A172AD" w:rsidRPr="00133E5C" w:rsidRDefault="00A172AD">
      <w:pPr>
        <w:pStyle w:val="FootnoteText"/>
        <w:rPr>
          <w:color w:val="000000" w:themeColor="text1"/>
        </w:rPr>
      </w:pPr>
      <w:r w:rsidRPr="00A172AD">
        <w:rPr>
          <w:rStyle w:val="FootnoteReference"/>
          <w:color w:val="000000" w:themeColor="text1"/>
        </w:rPr>
        <w:footnoteRef/>
      </w:r>
      <w:r w:rsidRPr="00A172AD">
        <w:rPr>
          <w:color w:val="000000" w:themeColor="text1"/>
        </w:rPr>
        <w:t xml:space="preserve"> </w:t>
      </w:r>
      <w:r w:rsidRPr="00A172AD">
        <w:rPr>
          <w:color w:val="000000" w:themeColor="text1"/>
        </w:rPr>
        <w:t xml:space="preserve">John W. Krakauer, Asif A. Ghazanfar, Alex Gomez-Marin, Malcolm A. MacIver, and David Poeppel, “Neuroscience Needs Behavior: Correcting a Reductionist Bias,” Neuron 93, no. 3 (Feb 2017): 480–490, </w:t>
      </w:r>
      <w:hyperlink r:id="rId49">
        <w:r w:rsidRPr="00A172AD">
          <w:rPr>
            <w:rStyle w:val="Hyperlink"/>
            <w:color w:val="000000" w:themeColor="text1"/>
            <w:u w:val="none"/>
          </w:rPr>
          <w:t>https://doi.org/10.1016/j.</w:t>
        </w:r>
      </w:hyperlink>
      <w:r w:rsidRPr="00A172AD">
        <w:rPr>
          <w:color w:val="000000" w:themeColor="text1"/>
        </w:rPr>
        <w:t xml:space="preserve"> neuron.2016.12.041. David Marc Anton Mehler and Konrad Paul Kording, “The Lure of Causal Statements: Rampant Mis-Inference of Causality in Estimated Connectivity,” </w:t>
      </w:r>
      <w:r w:rsidRPr="00A172AD">
        <w:rPr>
          <w:i/>
          <w:color w:val="000000" w:themeColor="text1"/>
        </w:rPr>
        <w:t xml:space="preserve">arXiv: Neurons and Cognition </w:t>
      </w:r>
      <w:r w:rsidRPr="00A172AD">
        <w:rPr>
          <w:color w:val="000000" w:themeColor="text1"/>
        </w:rPr>
        <w:t xml:space="preserve">(Oct 23, 2020), </w:t>
      </w:r>
      <w:hyperlink r:id="rId50">
        <w:r w:rsidRPr="00A172AD">
          <w:rPr>
            <w:rStyle w:val="Hyperlink"/>
            <w:color w:val="000000" w:themeColor="text1"/>
            <w:u w:val="none"/>
          </w:rPr>
          <w:t>https://arxiv.org/abs/1812.03363.</w:t>
        </w:r>
      </w:hyperlink>
    </w:p>
  </w:footnote>
  <w:footnote w:id="141">
    <w:p w14:paraId="0F4B7103" w14:textId="7B02146E" w:rsidR="00133E5C" w:rsidRDefault="00133E5C">
      <w:pPr>
        <w:pStyle w:val="FootnoteText"/>
      </w:pPr>
      <w:r>
        <w:rPr>
          <w:rStyle w:val="FootnoteReference"/>
        </w:rPr>
        <w:footnoteRef/>
      </w:r>
      <w:r>
        <w:t xml:space="preserve"> </w:t>
      </w:r>
      <w:r>
        <w:rPr>
          <w:rFonts w:ascii="Times New Roman"/>
          <w:color w:val="231F20"/>
        </w:rPr>
        <w:t>Satel</w:t>
      </w:r>
      <w:r>
        <w:rPr>
          <w:rFonts w:ascii="Times New Roman"/>
          <w:color w:val="231F20"/>
          <w:spacing w:val="24"/>
        </w:rPr>
        <w:t xml:space="preserve"> </w:t>
      </w:r>
      <w:r>
        <w:rPr>
          <w:rFonts w:ascii="Times New Roman"/>
          <w:color w:val="231F20"/>
        </w:rPr>
        <w:t>and</w:t>
      </w:r>
      <w:r>
        <w:rPr>
          <w:rFonts w:ascii="Times New Roman"/>
          <w:color w:val="231F20"/>
          <w:spacing w:val="23"/>
        </w:rPr>
        <w:t xml:space="preserve"> </w:t>
      </w:r>
      <w:r>
        <w:rPr>
          <w:rFonts w:ascii="Times New Roman"/>
          <w:color w:val="231F20"/>
        </w:rPr>
        <w:t>Lilienfield,</w:t>
      </w:r>
      <w:r>
        <w:rPr>
          <w:rFonts w:ascii="Times New Roman"/>
          <w:color w:val="231F20"/>
          <w:spacing w:val="19"/>
        </w:rPr>
        <w:t xml:space="preserve"> </w:t>
      </w:r>
      <w:r>
        <w:rPr>
          <w:rFonts w:ascii="Times New Roman"/>
          <w:i/>
          <w:color w:val="231F20"/>
        </w:rPr>
        <w:t>Brainwashed,</w:t>
      </w:r>
      <w:r>
        <w:rPr>
          <w:rFonts w:ascii="Times New Roman"/>
          <w:i/>
          <w:color w:val="231F20"/>
          <w:spacing w:val="19"/>
        </w:rPr>
        <w:t xml:space="preserve"> </w:t>
      </w:r>
      <w:r>
        <w:rPr>
          <w:rFonts w:ascii="Times New Roman"/>
          <w:color w:val="231F20"/>
          <w:spacing w:val="-5"/>
        </w:rPr>
        <w:t>11.</w:t>
      </w:r>
    </w:p>
  </w:footnote>
  <w:footnote w:id="142">
    <w:p w14:paraId="39C63B14" w14:textId="3E772B83" w:rsidR="00133E5C" w:rsidRDefault="00133E5C">
      <w:pPr>
        <w:pStyle w:val="FootnoteText"/>
      </w:pPr>
      <w:r>
        <w:rPr>
          <w:rStyle w:val="FootnoteReference"/>
        </w:rPr>
        <w:footnoteRef/>
      </w:r>
      <w:r>
        <w:t xml:space="preserve"> </w:t>
      </w:r>
      <w:r w:rsidRPr="00133E5C">
        <w:t xml:space="preserve">APA Presidential Task Force on Evidence-Based Practice, “Evidence-Based Practice in Psychology,” </w:t>
      </w:r>
      <w:r w:rsidRPr="00133E5C">
        <w:rPr>
          <w:i/>
        </w:rPr>
        <w:t xml:space="preserve">American Psychologist </w:t>
      </w:r>
      <w:r w:rsidRPr="00133E5C">
        <w:t>61, no. 4 (May-June 2006): 273, doi:10.1037/0003-066X.61.4.271.</w:t>
      </w:r>
    </w:p>
  </w:footnote>
  <w:footnote w:id="143">
    <w:p w14:paraId="3A043AC5" w14:textId="77777777" w:rsidR="00133E5C" w:rsidRPr="00133E5C" w:rsidRDefault="00133E5C" w:rsidP="00133E5C">
      <w:pPr>
        <w:pStyle w:val="FootnoteText"/>
      </w:pPr>
      <w:r>
        <w:rPr>
          <w:rStyle w:val="FootnoteReference"/>
        </w:rPr>
        <w:footnoteRef/>
      </w:r>
      <w:r>
        <w:t xml:space="preserve"> </w:t>
      </w:r>
      <w:r w:rsidRPr="00133E5C">
        <w:t>When it’s done by someone renowned, there is a “wow” factor, as I experienced with certain individuals.</w:t>
      </w:r>
    </w:p>
    <w:p w14:paraId="4C727B55" w14:textId="4F4F5947" w:rsidR="00133E5C" w:rsidRDefault="00133E5C">
      <w:pPr>
        <w:pStyle w:val="FootnoteText"/>
      </w:pPr>
    </w:p>
  </w:footnote>
  <w:footnote w:id="144">
    <w:p w14:paraId="26FEB557" w14:textId="4BFC77B2" w:rsidR="00133E5C" w:rsidRDefault="00133E5C">
      <w:pPr>
        <w:pStyle w:val="FootnoteText"/>
      </w:pPr>
      <w:r>
        <w:rPr>
          <w:rStyle w:val="FootnoteReference"/>
        </w:rPr>
        <w:footnoteRef/>
      </w:r>
      <w:r>
        <w:t xml:space="preserve"> </w:t>
      </w:r>
      <w:r w:rsidRPr="00133E5C">
        <w:t>Thanks to David Powlison for the upstream/downstream metaphor.</w:t>
      </w:r>
    </w:p>
  </w:footnote>
  <w:footnote w:id="145">
    <w:p w14:paraId="2218BBD9" w14:textId="3960A73C" w:rsidR="00133E5C" w:rsidRDefault="00133E5C">
      <w:pPr>
        <w:pStyle w:val="FootnoteText"/>
      </w:pPr>
      <w:r>
        <w:rPr>
          <w:rStyle w:val="FootnoteReference"/>
        </w:rPr>
        <w:footnoteRef/>
      </w:r>
      <w:r>
        <w:t xml:space="preserve"> </w:t>
      </w:r>
      <w:r w:rsidRPr="00133E5C">
        <w:t>Not that it is an either/or, and, it is challenging to be proficient at both research and practice, given the differing demands and amount of investment it requires to become competent. A stereotype could be “ivory tower” vs. “in the trenches.”</w:t>
      </w:r>
    </w:p>
  </w:footnote>
  <w:footnote w:id="146">
    <w:p w14:paraId="3697CE1F" w14:textId="1F8672ED" w:rsidR="00133E5C" w:rsidRDefault="00133E5C">
      <w:pPr>
        <w:pStyle w:val="FootnoteText"/>
      </w:pPr>
      <w:r>
        <w:rPr>
          <w:rStyle w:val="FootnoteReference"/>
        </w:rPr>
        <w:footnoteRef/>
      </w:r>
      <w:r>
        <w:t xml:space="preserve"> </w:t>
      </w:r>
      <w:r w:rsidRPr="00133E5C">
        <w:rPr>
          <w:i/>
        </w:rPr>
        <w:t xml:space="preserve">Theology and Secular Psychology CCEF Course Notebook, </w:t>
      </w:r>
      <w:r w:rsidRPr="00133E5C">
        <w:t>8-9.</w:t>
      </w:r>
    </w:p>
  </w:footnote>
  <w:footnote w:id="147">
    <w:p w14:paraId="30D49226" w14:textId="2B5D7A5D" w:rsidR="00133E5C" w:rsidRDefault="00133E5C">
      <w:pPr>
        <w:pStyle w:val="FootnoteText"/>
      </w:pPr>
      <w:r>
        <w:rPr>
          <w:rStyle w:val="FootnoteReference"/>
        </w:rPr>
        <w:footnoteRef/>
      </w:r>
      <w:r>
        <w:t xml:space="preserve"> </w:t>
      </w:r>
      <w:r w:rsidRPr="00133E5C">
        <w:t>I refer back to Ritchie’s “meaning well bias” mentioned earlier in this paper. At the same time, they may be influenced by what is referred to in 1 John 2:16, “For all that is in the world—the desires of the flesh and the desires of the eyes and pride of life—is not from the Father but is from the world.”</w:t>
      </w:r>
    </w:p>
  </w:footnote>
  <w:footnote w:id="148">
    <w:p w14:paraId="4910FA7A" w14:textId="77777777" w:rsidR="00D670A8" w:rsidRPr="00D670A8" w:rsidRDefault="00D670A8" w:rsidP="00D670A8">
      <w:pPr>
        <w:pStyle w:val="FootnoteText"/>
      </w:pPr>
      <w:r>
        <w:rPr>
          <w:rStyle w:val="FootnoteReference"/>
        </w:rPr>
        <w:footnoteRef/>
      </w:r>
      <w:r>
        <w:t xml:space="preserve"> </w:t>
      </w:r>
      <w:r w:rsidRPr="00D670A8">
        <w:t xml:space="preserve">Jay Adams, </w:t>
      </w:r>
      <w:r w:rsidRPr="00D670A8">
        <w:rPr>
          <w:i/>
        </w:rPr>
        <w:t xml:space="preserve">Competent to Counsel </w:t>
      </w:r>
      <w:r w:rsidRPr="00D670A8">
        <w:t>(Grand Rapids: Zondervan, 1986), xvi.</w:t>
      </w:r>
    </w:p>
    <w:p w14:paraId="75C2B8B8" w14:textId="2B65E7DF" w:rsidR="00D670A8" w:rsidRDefault="00D670A8">
      <w:pPr>
        <w:pStyle w:val="FootnoteText"/>
      </w:pPr>
    </w:p>
  </w:footnote>
  <w:footnote w:id="149">
    <w:p w14:paraId="342DA58D" w14:textId="7D6E9759" w:rsidR="00D670A8" w:rsidRPr="00BA212F" w:rsidRDefault="00D670A8">
      <w:pPr>
        <w:pStyle w:val="FootnoteText"/>
        <w:rPr>
          <w:color w:val="000000" w:themeColor="text1"/>
        </w:rPr>
      </w:pPr>
      <w:r>
        <w:rPr>
          <w:rStyle w:val="FootnoteReference"/>
        </w:rPr>
        <w:footnoteRef/>
      </w:r>
      <w:r>
        <w:t xml:space="preserve"> </w:t>
      </w:r>
      <w:r w:rsidRPr="00D670A8">
        <w:t xml:space="preserve">“Top Ten List of Questions to Assess Research,” in Stuart Richie, </w:t>
      </w:r>
      <w:r w:rsidRPr="00D670A8">
        <w:rPr>
          <w:i/>
        </w:rPr>
        <w:t xml:space="preserve">Science Fictions, </w:t>
      </w:r>
      <w:r w:rsidRPr="00D670A8">
        <w:t xml:space="preserve">248-253. See also </w:t>
      </w:r>
      <w:r w:rsidRPr="00D670A8">
        <w:rPr>
          <w:color w:val="000000" w:themeColor="text1"/>
        </w:rPr>
        <w:t>corollaries</w:t>
      </w:r>
      <w:r w:rsidRPr="00D670A8">
        <w:rPr>
          <w:color w:val="000000" w:themeColor="text1"/>
        </w:rPr>
        <w:t xml:space="preserve"> </w:t>
      </w:r>
      <w:r w:rsidRPr="00D670A8">
        <w:rPr>
          <w:color w:val="000000" w:themeColor="text1"/>
        </w:rPr>
        <w:t xml:space="preserve">in John P. A. Ioannidis, “Why Most Published Research Findings Are False,” </w:t>
      </w:r>
      <w:r w:rsidRPr="00D670A8">
        <w:rPr>
          <w:i/>
          <w:color w:val="000000" w:themeColor="text1"/>
        </w:rPr>
        <w:t xml:space="preserve">PLOS Medicine </w:t>
      </w:r>
      <w:r w:rsidRPr="00D670A8">
        <w:rPr>
          <w:color w:val="000000" w:themeColor="text1"/>
        </w:rPr>
        <w:t xml:space="preserve">2, no. 8 (2005): e124. See also Marc Zimmer, “6 Tips to Help You Detect Fake Science News,” </w:t>
      </w:r>
      <w:r w:rsidRPr="00D670A8">
        <w:rPr>
          <w:i/>
          <w:color w:val="000000" w:themeColor="text1"/>
        </w:rPr>
        <w:t>Phys Org</w:t>
      </w:r>
      <w:r w:rsidRPr="00D670A8">
        <w:rPr>
          <w:color w:val="000000" w:themeColor="text1"/>
        </w:rPr>
        <w:t xml:space="preserve">, March 16, 2021, </w:t>
      </w:r>
      <w:hyperlink r:id="rId51">
        <w:r w:rsidRPr="00D670A8">
          <w:rPr>
            <w:rStyle w:val="Hyperlink"/>
            <w:color w:val="000000" w:themeColor="text1"/>
            <w:u w:val="none"/>
          </w:rPr>
          <w:t>https://phys.</w:t>
        </w:r>
      </w:hyperlink>
      <w:r w:rsidRPr="00D670A8">
        <w:rPr>
          <w:color w:val="000000" w:themeColor="text1"/>
        </w:rPr>
        <w:t xml:space="preserve"> org/news/2021-03-fake-science-news.html. See also </w:t>
      </w:r>
      <w:hyperlink r:id="rId52">
        <w:r w:rsidRPr="00D670A8">
          <w:rPr>
            <w:rStyle w:val="Hyperlink"/>
            <w:color w:val="000000" w:themeColor="text1"/>
            <w:u w:val="none"/>
          </w:rPr>
          <w:t>https://retractionwatch.com/</w:t>
        </w:r>
      </w:hyperlink>
      <w:r w:rsidRPr="00D670A8">
        <w:rPr>
          <w:color w:val="000000" w:themeColor="text1"/>
        </w:rPr>
        <w:t xml:space="preserve"> as well as reasons for retractions: </w:t>
      </w:r>
      <w:hyperlink r:id="rId53">
        <w:r w:rsidRPr="00D670A8">
          <w:rPr>
            <w:rStyle w:val="Hyperlink"/>
            <w:color w:val="000000" w:themeColor="text1"/>
            <w:u w:val="none"/>
          </w:rPr>
          <w:t>https://retractionwatch.com/retraction-watch-database-user-guide/retraction-watch-database-user-guide-appendix-</w:t>
        </w:r>
      </w:hyperlink>
      <w:r w:rsidRPr="00D670A8">
        <w:rPr>
          <w:color w:val="000000" w:themeColor="text1"/>
        </w:rPr>
        <w:t>b-reasons/.</w:t>
      </w:r>
    </w:p>
  </w:footnote>
  <w:footnote w:id="150">
    <w:p w14:paraId="3D565E32" w14:textId="77777777" w:rsidR="00BA212F" w:rsidRPr="00BA212F" w:rsidRDefault="00BA212F" w:rsidP="00BA212F">
      <w:pPr>
        <w:pStyle w:val="FootnoteText"/>
      </w:pPr>
      <w:r>
        <w:rPr>
          <w:rStyle w:val="FootnoteReference"/>
        </w:rPr>
        <w:footnoteRef/>
      </w:r>
      <w:r>
        <w:t xml:space="preserve"> </w:t>
      </w:r>
      <w:r w:rsidRPr="00BA212F">
        <w:t>And I am aware there are so many more, such as Hebrews 4:12, all of Psalm 119.</w:t>
      </w:r>
    </w:p>
    <w:p w14:paraId="1A993F18" w14:textId="356876A9" w:rsidR="00BA212F" w:rsidRDefault="00BA212F">
      <w:pPr>
        <w:pStyle w:val="FootnoteText"/>
      </w:pPr>
    </w:p>
  </w:footnote>
  <w:footnote w:id="151">
    <w:p w14:paraId="193D4526" w14:textId="59B4B5AB" w:rsidR="00822DFB" w:rsidRPr="003D029B" w:rsidRDefault="00822DFB">
      <w:pPr>
        <w:pStyle w:val="FootnoteText"/>
        <w:rPr>
          <w:color w:val="000000" w:themeColor="text1"/>
        </w:rPr>
      </w:pPr>
      <w:r w:rsidRPr="00822DFB">
        <w:rPr>
          <w:rStyle w:val="FootnoteReference"/>
          <w:color w:val="000000" w:themeColor="text1"/>
        </w:rPr>
        <w:footnoteRef/>
      </w:r>
      <w:r w:rsidRPr="00822DFB">
        <w:rPr>
          <w:color w:val="000000" w:themeColor="text1"/>
        </w:rPr>
        <w:t xml:space="preserve"> </w:t>
      </w:r>
      <w:r w:rsidRPr="00822DFB">
        <w:rPr>
          <w:color w:val="000000" w:themeColor="text1"/>
        </w:rPr>
        <w:t xml:space="preserve">“The Wizard of Oz (character),” </w:t>
      </w:r>
      <w:r w:rsidRPr="00822DFB">
        <w:rPr>
          <w:i/>
          <w:color w:val="000000" w:themeColor="text1"/>
        </w:rPr>
        <w:t xml:space="preserve">Wikipedia </w:t>
      </w:r>
      <w:r w:rsidRPr="00822DFB">
        <w:rPr>
          <w:color w:val="000000" w:themeColor="text1"/>
        </w:rPr>
        <w:t>(May 03, 2020):</w:t>
      </w:r>
      <w:r w:rsidRPr="00822DFB">
        <w:rPr>
          <w:color w:val="000000" w:themeColor="text1"/>
        </w:rPr>
        <w:t xml:space="preserve"> </w:t>
      </w:r>
      <w:hyperlink r:id="rId54" w:history="1">
        <w:r w:rsidRPr="00822DFB">
          <w:rPr>
            <w:rStyle w:val="Hyperlink"/>
            <w:color w:val="000000" w:themeColor="text1"/>
            <w:u w:val="none"/>
          </w:rPr>
          <w:t>https://en.wikipedia.org/wiki/Wizard_of_Oz_(character).</w:t>
        </w:r>
      </w:hyperlink>
      <w:r w:rsidRPr="00822DFB">
        <w:rPr>
          <w:color w:val="000000" w:themeColor="text1"/>
        </w:rPr>
        <w:t xml:space="preserve"> </w:t>
      </w:r>
      <w:r w:rsidRPr="00822DFB">
        <w:rPr>
          <w:color w:val="000000" w:themeColor="text1"/>
        </w:rPr>
        <w:t>Accessed February 15, 2021.</w:t>
      </w:r>
    </w:p>
  </w:footnote>
  <w:footnote w:id="152">
    <w:p w14:paraId="0E34B67F" w14:textId="16B5DB8F" w:rsidR="003D029B" w:rsidRDefault="003D029B">
      <w:pPr>
        <w:pStyle w:val="FootnoteText"/>
      </w:pPr>
      <w:r>
        <w:rPr>
          <w:rStyle w:val="FootnoteReference"/>
        </w:rPr>
        <w:footnoteRef/>
      </w:r>
      <w:r>
        <w:t xml:space="preserve"> Ibid.</w:t>
      </w:r>
    </w:p>
  </w:footnote>
  <w:footnote w:id="153">
    <w:p w14:paraId="3A868A66" w14:textId="77777777" w:rsidR="00315473" w:rsidRPr="00315473" w:rsidRDefault="00315473" w:rsidP="00315473">
      <w:pPr>
        <w:pStyle w:val="FootnoteText"/>
        <w:rPr>
          <w:color w:val="000000" w:themeColor="text1"/>
        </w:rPr>
      </w:pPr>
      <w:r>
        <w:rPr>
          <w:rStyle w:val="FootnoteReference"/>
        </w:rPr>
        <w:footnoteRef/>
      </w:r>
      <w:r>
        <w:t xml:space="preserve"> </w:t>
      </w:r>
      <w:r w:rsidRPr="00315473">
        <w:t xml:space="preserve">Kraepelin’s theory was focused on biology through psychology, though eventually he included sociology: “Kraepelin’s thought was not set, however, and by the end of his career it took a turn toward a more comprehensive type of psychiatry (1920) taking into account the social aspects (social psychiatry)” Emil M. Géraud, “Emil Kraepelin: un pionnier de la psychiatrie moderne (à l’occasion du cent cinquantième </w:t>
      </w:r>
      <w:r w:rsidRPr="00315473">
        <w:rPr>
          <w:color w:val="000000" w:themeColor="text1"/>
        </w:rPr>
        <w:t xml:space="preserve">anniversaire de sa naissance) [Emil Kraepelin: a pioneer of modern psychiatry. On the occasion of the hundred and fiftieth anniversary of his birth],” </w:t>
      </w:r>
      <w:r w:rsidRPr="00315473">
        <w:rPr>
          <w:i/>
          <w:color w:val="000000" w:themeColor="text1"/>
        </w:rPr>
        <w:t xml:space="preserve">L’Encephale </w:t>
      </w:r>
      <w:r w:rsidRPr="00315473">
        <w:rPr>
          <w:color w:val="000000" w:themeColor="text1"/>
        </w:rPr>
        <w:t>33 (4 Pt 1) (Sep 2007): 561-567. DOI: 10.1016/s0013-7006(07)92053-9. Accessed March 4,</w:t>
      </w:r>
    </w:p>
    <w:p w14:paraId="26C25A32" w14:textId="30F08742" w:rsidR="00315473" w:rsidRPr="00315473" w:rsidRDefault="00315473">
      <w:pPr>
        <w:pStyle w:val="FootnoteText"/>
        <w:rPr>
          <w:color w:val="000000" w:themeColor="text1"/>
        </w:rPr>
      </w:pPr>
      <w:r w:rsidRPr="00315473">
        <w:rPr>
          <w:color w:val="000000" w:themeColor="text1"/>
        </w:rPr>
        <w:t>2021.</w:t>
      </w:r>
    </w:p>
  </w:footnote>
  <w:footnote w:id="154">
    <w:p w14:paraId="5A36505F" w14:textId="1CDA0A7D" w:rsidR="00315473" w:rsidRPr="00315473" w:rsidRDefault="00315473">
      <w:pPr>
        <w:pStyle w:val="FootnoteText"/>
        <w:rPr>
          <w:color w:val="000000" w:themeColor="text1"/>
        </w:rPr>
      </w:pPr>
      <w:r w:rsidRPr="00315473">
        <w:rPr>
          <w:rStyle w:val="FootnoteReference"/>
          <w:color w:val="000000" w:themeColor="text1"/>
        </w:rPr>
        <w:footnoteRef/>
      </w:r>
      <w:r w:rsidRPr="00315473">
        <w:rPr>
          <w:color w:val="000000" w:themeColor="text1"/>
        </w:rPr>
        <w:t xml:space="preserve"> </w:t>
      </w:r>
      <w:r w:rsidRPr="00315473">
        <w:rPr>
          <w:color w:val="000000" w:themeColor="text1"/>
        </w:rPr>
        <w:t xml:space="preserve">Influential psychiatrists and psychiatric groups, such as Allen Frances, Steven Moffic, and the World Psychiatric Association, all admit that psychiatry is rooted in Shamanism. For further study, see Daniel R. Berger II, </w:t>
      </w:r>
      <w:r w:rsidRPr="00315473">
        <w:rPr>
          <w:i/>
          <w:color w:val="000000" w:themeColor="text1"/>
        </w:rPr>
        <w:t xml:space="preserve">Rethinking Depression: Not a Sickness Not a Sin </w:t>
      </w:r>
      <w:r w:rsidRPr="00315473">
        <w:rPr>
          <w:color w:val="000000" w:themeColor="text1"/>
        </w:rPr>
        <w:t>(Taylors, SC: Alethia International Publications, 2019), 43-48.</w:t>
      </w:r>
    </w:p>
  </w:footnote>
  <w:footnote w:id="155">
    <w:p w14:paraId="75B2C821" w14:textId="77777777" w:rsidR="00315473" w:rsidRPr="00315473" w:rsidRDefault="00315473" w:rsidP="00315473">
      <w:pPr>
        <w:pStyle w:val="FootnoteText"/>
        <w:rPr>
          <w:color w:val="000000" w:themeColor="text1"/>
        </w:rPr>
      </w:pPr>
      <w:r w:rsidRPr="00315473">
        <w:rPr>
          <w:rStyle w:val="FootnoteReference"/>
          <w:color w:val="000000" w:themeColor="text1"/>
        </w:rPr>
        <w:footnoteRef/>
      </w:r>
      <w:r w:rsidRPr="00315473">
        <w:rPr>
          <w:color w:val="000000" w:themeColor="text1"/>
        </w:rPr>
        <w:t xml:space="preserve"> </w:t>
      </w:r>
      <w:r w:rsidRPr="00315473">
        <w:rPr>
          <w:color w:val="000000" w:themeColor="text1"/>
        </w:rPr>
        <w:t xml:space="preserve">“Myth,” </w:t>
      </w:r>
      <w:r w:rsidRPr="00315473">
        <w:rPr>
          <w:i/>
          <w:color w:val="000000" w:themeColor="text1"/>
        </w:rPr>
        <w:t>Merriam-Webster</w:t>
      </w:r>
      <w:r w:rsidRPr="00315473">
        <w:rPr>
          <w:color w:val="000000" w:themeColor="text1"/>
        </w:rPr>
        <w:t xml:space="preserve">, </w:t>
      </w:r>
      <w:hyperlink r:id="rId55">
        <w:r w:rsidRPr="00315473">
          <w:rPr>
            <w:rStyle w:val="Hyperlink"/>
            <w:color w:val="000000" w:themeColor="text1"/>
            <w:u w:val="none"/>
          </w:rPr>
          <w:t>https://www.merriam-webster.com/dictionary/myth.</w:t>
        </w:r>
      </w:hyperlink>
      <w:r w:rsidRPr="00315473">
        <w:rPr>
          <w:color w:val="000000" w:themeColor="text1"/>
        </w:rPr>
        <w:t xml:space="preserve"> Accessed February 18, 2021.</w:t>
      </w:r>
    </w:p>
    <w:p w14:paraId="65463CDD" w14:textId="66B4862F" w:rsidR="00315473" w:rsidRDefault="00315473">
      <w:pPr>
        <w:pStyle w:val="FootnoteText"/>
      </w:pPr>
    </w:p>
  </w:footnote>
  <w:footnote w:id="156">
    <w:p w14:paraId="47B63F9B" w14:textId="162004C6" w:rsidR="002A4D72" w:rsidRPr="002A4D72" w:rsidRDefault="002A4D72" w:rsidP="002A4D72">
      <w:pPr>
        <w:pStyle w:val="FootnoteText"/>
        <w:rPr>
          <w:i/>
        </w:rPr>
      </w:pPr>
      <w:r>
        <w:rPr>
          <w:rStyle w:val="FootnoteReference"/>
        </w:rPr>
        <w:footnoteRef/>
      </w:r>
      <w:r>
        <w:t xml:space="preserve"> </w:t>
      </w:r>
      <w:r w:rsidRPr="002A4D72">
        <w:t xml:space="preserve">Kenneth S. Kendler &amp; Josef Parnas, </w:t>
      </w:r>
      <w:r w:rsidRPr="002A4D72">
        <w:rPr>
          <w:i/>
        </w:rPr>
        <w:t>Philosophical Issues in Psychiatry: Explanation, Phenomenology, and Nosology</w:t>
      </w:r>
      <w:r w:rsidR="00904F47">
        <w:rPr>
          <w:i/>
        </w:rPr>
        <w:t xml:space="preserve"> </w:t>
      </w:r>
      <w:r w:rsidRPr="002A4D72">
        <w:t>(Johns Hopkins University Press, 2008), 1-2.</w:t>
      </w:r>
    </w:p>
    <w:p w14:paraId="128DC15A" w14:textId="35B2F427" w:rsidR="002A4D72" w:rsidRDefault="002A4D72">
      <w:pPr>
        <w:pStyle w:val="FootnoteText"/>
      </w:pPr>
    </w:p>
  </w:footnote>
  <w:footnote w:id="157">
    <w:p w14:paraId="0D89E695" w14:textId="77777777" w:rsidR="0030068D" w:rsidRPr="0030068D" w:rsidRDefault="0030068D" w:rsidP="0030068D">
      <w:pPr>
        <w:pStyle w:val="FootnoteText"/>
      </w:pPr>
      <w:r>
        <w:rPr>
          <w:rStyle w:val="FootnoteReference"/>
        </w:rPr>
        <w:footnoteRef/>
      </w:r>
      <w:r>
        <w:t xml:space="preserve"> </w:t>
      </w:r>
      <w:r w:rsidRPr="0030068D">
        <w:t xml:space="preserve">Kendler and Parnas, </w:t>
      </w:r>
      <w:r w:rsidRPr="0030068D">
        <w:rPr>
          <w:i/>
        </w:rPr>
        <w:t>Philosophical Issues in Psychiatry</w:t>
      </w:r>
      <w:r w:rsidRPr="0030068D">
        <w:t>, 2-3.</w:t>
      </w:r>
    </w:p>
    <w:p w14:paraId="214F0DDD" w14:textId="7E5FABDB" w:rsidR="0030068D" w:rsidRDefault="0030068D">
      <w:pPr>
        <w:pStyle w:val="FootnoteText"/>
      </w:pPr>
    </w:p>
  </w:footnote>
  <w:footnote w:id="158">
    <w:p w14:paraId="0BBFB7CF" w14:textId="69B62E41" w:rsidR="008428ED" w:rsidRPr="008428ED" w:rsidRDefault="008428ED">
      <w:pPr>
        <w:pStyle w:val="FootnoteText"/>
        <w:rPr>
          <w:color w:val="000000" w:themeColor="text1"/>
        </w:rPr>
      </w:pPr>
      <w:r w:rsidRPr="008428ED">
        <w:rPr>
          <w:rStyle w:val="FootnoteReference"/>
          <w:color w:val="000000" w:themeColor="text1"/>
        </w:rPr>
        <w:footnoteRef/>
      </w:r>
      <w:r w:rsidRPr="008428ED">
        <w:rPr>
          <w:color w:val="000000" w:themeColor="text1"/>
        </w:rPr>
        <w:t xml:space="preserve"> </w:t>
      </w:r>
      <w:r w:rsidRPr="008428ED">
        <w:rPr>
          <w:color w:val="000000" w:themeColor="text1"/>
        </w:rPr>
        <w:t xml:space="preserve">Nassir Ghaemi, “The Postmodern Assumptions of Biopsychosocial Approach,” </w:t>
      </w:r>
      <w:r w:rsidRPr="008428ED">
        <w:rPr>
          <w:i/>
          <w:color w:val="000000" w:themeColor="text1"/>
        </w:rPr>
        <w:t xml:space="preserve">Psychiatric Times </w:t>
      </w:r>
      <w:r w:rsidRPr="008428ED">
        <w:rPr>
          <w:color w:val="000000" w:themeColor="text1"/>
        </w:rPr>
        <w:t>(January 27, 2020): https://www.psychiatrictimes .com/couch-crisis/postmodern-assumptions-biopsychosocial-approach? rememberme=1&amp;elq_mid=10664&amp;elq_cid=893295&amp;GUID=31158D64-F01A-4DEA-AC1A-D3CE843FC9BC.   Accessed March 3, 2021.</w:t>
      </w:r>
    </w:p>
  </w:footnote>
  <w:footnote w:id="159">
    <w:p w14:paraId="15690659" w14:textId="5E9DECF0" w:rsidR="008428ED" w:rsidRPr="008428ED" w:rsidRDefault="008428ED">
      <w:pPr>
        <w:pStyle w:val="FootnoteText"/>
        <w:rPr>
          <w:color w:val="000000" w:themeColor="text1"/>
        </w:rPr>
      </w:pPr>
      <w:r w:rsidRPr="008428ED">
        <w:rPr>
          <w:rStyle w:val="FootnoteReference"/>
          <w:color w:val="000000" w:themeColor="text1"/>
        </w:rPr>
        <w:footnoteRef/>
      </w:r>
      <w:r w:rsidRPr="008428ED">
        <w:rPr>
          <w:color w:val="000000" w:themeColor="text1"/>
        </w:rPr>
        <w:t xml:space="preserve"> </w:t>
      </w:r>
      <w:r w:rsidRPr="008428ED">
        <w:rPr>
          <w:color w:val="000000" w:themeColor="text1"/>
        </w:rPr>
        <w:t xml:space="preserve">Roland Littlewood and Maurice Lipsedge, </w:t>
      </w:r>
      <w:r w:rsidRPr="008428ED">
        <w:rPr>
          <w:i/>
          <w:color w:val="000000" w:themeColor="text1"/>
        </w:rPr>
        <w:t>Aliens and Alienists: Ethnic Minorities and Psychiatry</w:t>
      </w:r>
      <w:r w:rsidRPr="008428ED">
        <w:rPr>
          <w:color w:val="000000" w:themeColor="text1"/>
        </w:rPr>
        <w:t>, 3rd ed. (London: Taylor and Francis, 1997), 21-23.</w:t>
      </w:r>
    </w:p>
  </w:footnote>
  <w:footnote w:id="160">
    <w:p w14:paraId="361FBDAD" w14:textId="77777777" w:rsidR="008428ED" w:rsidRPr="008428ED" w:rsidRDefault="008428ED" w:rsidP="008428ED">
      <w:pPr>
        <w:pStyle w:val="FootnoteText"/>
        <w:rPr>
          <w:color w:val="000000" w:themeColor="text1"/>
        </w:rPr>
      </w:pPr>
      <w:r w:rsidRPr="008428ED">
        <w:rPr>
          <w:rStyle w:val="FootnoteReference"/>
          <w:color w:val="000000" w:themeColor="text1"/>
        </w:rPr>
        <w:footnoteRef/>
      </w:r>
      <w:r w:rsidRPr="008428ED">
        <w:rPr>
          <w:color w:val="000000" w:themeColor="text1"/>
        </w:rPr>
        <w:t xml:space="preserve"> </w:t>
      </w:r>
      <w:r w:rsidRPr="008428ED">
        <w:rPr>
          <w:color w:val="000000" w:themeColor="text1"/>
        </w:rPr>
        <w:t xml:space="preserve">Ronald Pies, “Can We Salvage the Bio-psycho-social Model?” </w:t>
      </w:r>
      <w:r w:rsidRPr="008428ED">
        <w:rPr>
          <w:i/>
          <w:color w:val="000000" w:themeColor="text1"/>
        </w:rPr>
        <w:t xml:space="preserve">Psychiatric Times </w:t>
      </w:r>
      <w:r w:rsidRPr="008428ED">
        <w:rPr>
          <w:color w:val="000000" w:themeColor="text1"/>
        </w:rPr>
        <w:t xml:space="preserve">(January 22, 2020): </w:t>
      </w:r>
      <w:hyperlink r:id="rId56">
        <w:r w:rsidRPr="008428ED">
          <w:rPr>
            <w:rStyle w:val="Hyperlink"/>
            <w:color w:val="000000" w:themeColor="text1"/>
            <w:u w:val="none"/>
          </w:rPr>
          <w:t>https://www.</w:t>
        </w:r>
      </w:hyperlink>
      <w:r w:rsidRPr="008428ED">
        <w:rPr>
          <w:color w:val="000000" w:themeColor="text1"/>
        </w:rPr>
        <w:t xml:space="preserve"> psychiatrictimes.com/couch-crisis/can-we-salvage-biopsychosocial-model/page/0/1. Accessed February 15, 2021.</w:t>
      </w:r>
    </w:p>
    <w:p w14:paraId="4D8C2804" w14:textId="7ABC73CE" w:rsidR="008428ED" w:rsidRDefault="008428ED">
      <w:pPr>
        <w:pStyle w:val="FootnoteText"/>
      </w:pPr>
    </w:p>
  </w:footnote>
  <w:footnote w:id="161">
    <w:p w14:paraId="0760BDC0" w14:textId="1390133B" w:rsidR="008428ED" w:rsidRPr="00C11BA8" w:rsidRDefault="008428ED">
      <w:pPr>
        <w:pStyle w:val="FootnoteText"/>
        <w:rPr>
          <w:color w:val="000000" w:themeColor="text1"/>
        </w:rPr>
      </w:pPr>
      <w:r w:rsidRPr="008428ED">
        <w:rPr>
          <w:rStyle w:val="FootnoteReference"/>
          <w:color w:val="000000" w:themeColor="text1"/>
        </w:rPr>
        <w:footnoteRef/>
      </w:r>
      <w:r w:rsidRPr="008428ED">
        <w:rPr>
          <w:color w:val="000000" w:themeColor="text1"/>
        </w:rPr>
        <w:t xml:space="preserve"> </w:t>
      </w:r>
      <w:r w:rsidRPr="008428ED">
        <w:rPr>
          <w:color w:val="000000" w:themeColor="text1"/>
        </w:rPr>
        <w:t xml:space="preserve">“Biological reductionism has resulted in an idealistic approach, which is quite far from the explanatory pluralism required by clinical practice. Neurosciences have exported their conceptual framework into psychiatry much more than serving as an investigative tool,” (Giovanni Fava interviewed by Awais Aftab, “Psychiatry’s Intellectual Crisis: Giovanni Fava,” </w:t>
      </w:r>
      <w:r w:rsidRPr="008428ED">
        <w:rPr>
          <w:i/>
          <w:color w:val="000000" w:themeColor="text1"/>
        </w:rPr>
        <w:t xml:space="preserve">Psychiatric Times </w:t>
      </w:r>
      <w:r w:rsidRPr="008428ED">
        <w:rPr>
          <w:color w:val="000000" w:themeColor="text1"/>
        </w:rPr>
        <w:t xml:space="preserve">vol. 37 [9] [September 17, 2020]: </w:t>
      </w:r>
      <w:hyperlink r:id="rId57">
        <w:r w:rsidRPr="008428ED">
          <w:rPr>
            <w:rStyle w:val="Hyperlink"/>
            <w:color w:val="000000" w:themeColor="text1"/>
            <w:u w:val="none"/>
          </w:rPr>
          <w:t>https://www.psychiatrictimes.com/</w:t>
        </w:r>
      </w:hyperlink>
      <w:r w:rsidRPr="008428ED">
        <w:rPr>
          <w:color w:val="000000" w:themeColor="text1"/>
        </w:rPr>
        <w:t xml:space="preserve"> view/psychiatrys-intellectual-crisis-giovanni-fava-md).</w:t>
      </w:r>
    </w:p>
  </w:footnote>
  <w:footnote w:id="162">
    <w:p w14:paraId="44627926" w14:textId="77777777" w:rsidR="00C11BA8" w:rsidRPr="00C11BA8" w:rsidRDefault="00C11BA8" w:rsidP="00C11BA8">
      <w:pPr>
        <w:pStyle w:val="FootnoteText"/>
      </w:pPr>
      <w:r>
        <w:rPr>
          <w:rStyle w:val="FootnoteReference"/>
        </w:rPr>
        <w:footnoteRef/>
      </w:r>
      <w:r>
        <w:t xml:space="preserve"> </w:t>
      </w:r>
      <w:r w:rsidRPr="00C11BA8">
        <w:t xml:space="preserve">Stephen Fried, </w:t>
      </w:r>
      <w:r w:rsidRPr="00C11BA8">
        <w:rPr>
          <w:i/>
        </w:rPr>
        <w:t xml:space="preserve">Rush: Revolution, Madness, and the Visionary Doctor who became a Founding Father, </w:t>
      </w:r>
      <w:r w:rsidRPr="00C11BA8">
        <w:t>1st ed. (NY: Random House, 2018), 6.</w:t>
      </w:r>
    </w:p>
    <w:p w14:paraId="6AD295A2" w14:textId="10CE7FD3" w:rsidR="00C11BA8" w:rsidRDefault="00C11BA8">
      <w:pPr>
        <w:pStyle w:val="FootnoteText"/>
      </w:pPr>
    </w:p>
  </w:footnote>
  <w:footnote w:id="163">
    <w:p w14:paraId="45C24E76" w14:textId="71CD88CA" w:rsidR="00C11BA8" w:rsidRPr="006935C2" w:rsidRDefault="00C11BA8">
      <w:pPr>
        <w:pStyle w:val="FootnoteText"/>
        <w:rPr>
          <w:color w:val="000000" w:themeColor="text1"/>
        </w:rPr>
      </w:pPr>
      <w:r w:rsidRPr="006935C2">
        <w:rPr>
          <w:rStyle w:val="FootnoteReference"/>
          <w:color w:val="000000" w:themeColor="text1"/>
        </w:rPr>
        <w:footnoteRef/>
      </w:r>
      <w:r w:rsidRPr="006935C2">
        <w:rPr>
          <w:color w:val="000000" w:themeColor="text1"/>
        </w:rPr>
        <w:t xml:space="preserve"> Ibid., 274.</w:t>
      </w:r>
    </w:p>
  </w:footnote>
  <w:footnote w:id="164">
    <w:p w14:paraId="1E2ED86B" w14:textId="60153B5A" w:rsidR="006935C2" w:rsidRPr="006935C2" w:rsidRDefault="006935C2">
      <w:pPr>
        <w:pStyle w:val="FootnoteText"/>
        <w:rPr>
          <w:color w:val="000000" w:themeColor="text1"/>
        </w:rPr>
      </w:pPr>
      <w:r w:rsidRPr="006935C2">
        <w:rPr>
          <w:rStyle w:val="FootnoteReference"/>
          <w:color w:val="000000" w:themeColor="text1"/>
        </w:rPr>
        <w:footnoteRef/>
      </w:r>
      <w:r w:rsidRPr="006935C2">
        <w:rPr>
          <w:color w:val="000000" w:themeColor="text1"/>
        </w:rPr>
        <w:t xml:space="preserve"> </w:t>
      </w:r>
      <w:r w:rsidRPr="006935C2">
        <w:rPr>
          <w:color w:val="000000" w:themeColor="text1"/>
        </w:rPr>
        <w:t xml:space="preserve">Benjamin Rush, </w:t>
      </w:r>
      <w:r w:rsidRPr="006935C2">
        <w:rPr>
          <w:i/>
          <w:color w:val="000000" w:themeColor="text1"/>
        </w:rPr>
        <w:t xml:space="preserve">An Inquiry into the Influence of Physical Causes on the Moral Faculty </w:t>
      </w:r>
      <w:r w:rsidRPr="006935C2">
        <w:rPr>
          <w:color w:val="000000" w:themeColor="text1"/>
        </w:rPr>
        <w:t xml:space="preserve">(Philadelphia, PA: The American Philosophical Society, February 1786). PDF available from: </w:t>
      </w:r>
      <w:hyperlink r:id="rId58">
        <w:r w:rsidRPr="006935C2">
          <w:rPr>
            <w:rStyle w:val="Hyperlink"/>
            <w:color w:val="000000" w:themeColor="text1"/>
            <w:u w:val="none"/>
          </w:rPr>
          <w:t>https://collections.nlm.nih.gov/</w:t>
        </w:r>
      </w:hyperlink>
      <w:r w:rsidRPr="006935C2">
        <w:rPr>
          <w:color w:val="000000" w:themeColor="text1"/>
        </w:rPr>
        <w:t xml:space="preserve"> ext/mhl/57020900R/ PDF/57020900R.pdf. Accessed February 15, 2021.</w:t>
      </w:r>
    </w:p>
  </w:footnote>
  <w:footnote w:id="165">
    <w:p w14:paraId="248CB8D4" w14:textId="3D9E5317" w:rsidR="006935C2" w:rsidRPr="006935C2" w:rsidRDefault="006935C2">
      <w:pPr>
        <w:pStyle w:val="FootnoteText"/>
        <w:rPr>
          <w:color w:val="000000" w:themeColor="text1"/>
        </w:rPr>
      </w:pPr>
      <w:r w:rsidRPr="006935C2">
        <w:rPr>
          <w:rStyle w:val="FootnoteReference"/>
          <w:color w:val="000000" w:themeColor="text1"/>
        </w:rPr>
        <w:footnoteRef/>
      </w:r>
      <w:r w:rsidRPr="006935C2">
        <w:rPr>
          <w:color w:val="000000" w:themeColor="text1"/>
        </w:rPr>
        <w:t xml:space="preserve"> </w:t>
      </w:r>
      <w:r w:rsidRPr="006935C2">
        <w:rPr>
          <w:color w:val="000000" w:themeColor="text1"/>
        </w:rPr>
        <w:t xml:space="preserve">A letter from John Adams to Benjamin Rush, </w:t>
      </w:r>
      <w:r w:rsidRPr="006935C2">
        <w:rPr>
          <w:i/>
          <w:color w:val="000000" w:themeColor="text1"/>
        </w:rPr>
        <w:t xml:space="preserve">National Archives and Records Administration </w:t>
      </w:r>
      <w:r w:rsidRPr="006935C2">
        <w:rPr>
          <w:color w:val="000000" w:themeColor="text1"/>
        </w:rPr>
        <w:t xml:space="preserve">(originally penned November 14, 1812): </w:t>
      </w:r>
      <w:hyperlink r:id="rId59">
        <w:r w:rsidRPr="006935C2">
          <w:rPr>
            <w:rStyle w:val="Hyperlink"/>
            <w:color w:val="000000" w:themeColor="text1"/>
            <w:u w:val="none"/>
          </w:rPr>
          <w:t>https://founders.archives.gov.</w:t>
        </w:r>
      </w:hyperlink>
      <w:r w:rsidRPr="006935C2">
        <w:rPr>
          <w:color w:val="000000" w:themeColor="text1"/>
        </w:rPr>
        <w:t xml:space="preserve"> Accessed February 16, 2021.</w:t>
      </w:r>
    </w:p>
  </w:footnote>
  <w:footnote w:id="166">
    <w:p w14:paraId="4A6E09FE" w14:textId="77777777" w:rsidR="006935C2" w:rsidRPr="006935C2" w:rsidRDefault="006935C2" w:rsidP="006935C2">
      <w:pPr>
        <w:pStyle w:val="FootnoteText"/>
        <w:rPr>
          <w:color w:val="000000" w:themeColor="text1"/>
        </w:rPr>
      </w:pPr>
      <w:r w:rsidRPr="006935C2">
        <w:rPr>
          <w:rStyle w:val="FootnoteReference"/>
          <w:color w:val="000000" w:themeColor="text1"/>
        </w:rPr>
        <w:footnoteRef/>
      </w:r>
      <w:r w:rsidRPr="006935C2">
        <w:rPr>
          <w:color w:val="000000" w:themeColor="text1"/>
        </w:rPr>
        <w:t xml:space="preserve"> </w:t>
      </w:r>
      <w:r w:rsidRPr="006935C2">
        <w:rPr>
          <w:color w:val="000000" w:themeColor="text1"/>
        </w:rPr>
        <w:t xml:space="preserve">Nancy C. Andreasen, “DSM and the Death of Phenomenology in America: An Example of Unintended Consequences,” </w:t>
      </w:r>
      <w:r w:rsidRPr="006935C2">
        <w:rPr>
          <w:i/>
          <w:color w:val="000000" w:themeColor="text1"/>
        </w:rPr>
        <w:t xml:space="preserve">Schizophrenia Bulletin </w:t>
      </w:r>
      <w:r w:rsidRPr="006935C2">
        <w:rPr>
          <w:color w:val="000000" w:themeColor="text1"/>
        </w:rPr>
        <w:t>vol. 33 (1) (December 7, 2006): 108-12. DOI: 10.1093/schbul/sbl054.</w:t>
      </w:r>
    </w:p>
    <w:p w14:paraId="7A8239E6" w14:textId="77777777" w:rsidR="006935C2" w:rsidRPr="006935C2" w:rsidRDefault="006935C2" w:rsidP="006935C2">
      <w:pPr>
        <w:pStyle w:val="FootnoteText"/>
        <w:rPr>
          <w:color w:val="000000" w:themeColor="text1"/>
        </w:rPr>
      </w:pPr>
      <w:r w:rsidRPr="006935C2">
        <w:rPr>
          <w:color w:val="000000" w:themeColor="text1"/>
        </w:rPr>
        <w:t>Accessed March 1, 2021.</w:t>
      </w:r>
    </w:p>
    <w:p w14:paraId="54C05567" w14:textId="70F42A95" w:rsidR="006935C2" w:rsidRDefault="006935C2">
      <w:pPr>
        <w:pStyle w:val="FootnoteText"/>
      </w:pPr>
    </w:p>
  </w:footnote>
  <w:footnote w:id="167">
    <w:p w14:paraId="7B2896D8" w14:textId="2CA43119" w:rsidR="006478FB" w:rsidRPr="006478FB" w:rsidRDefault="006478FB">
      <w:pPr>
        <w:pStyle w:val="FootnoteText"/>
        <w:rPr>
          <w:i/>
        </w:rPr>
      </w:pPr>
      <w:r>
        <w:rPr>
          <w:rStyle w:val="FootnoteReference"/>
        </w:rPr>
        <w:footnoteRef/>
      </w:r>
      <w:r>
        <w:t xml:space="preserve"> </w:t>
      </w:r>
      <w:r w:rsidRPr="006478FB">
        <w:t xml:space="preserve">Benjamin Rush, </w:t>
      </w:r>
      <w:r w:rsidRPr="006478FB">
        <w:rPr>
          <w:i/>
        </w:rPr>
        <w:t>An Inquiry into the Influence of Physical Causes on the Moral Faculty.</w:t>
      </w:r>
    </w:p>
  </w:footnote>
  <w:footnote w:id="168">
    <w:p w14:paraId="384FCDF6" w14:textId="77777777" w:rsidR="006478FB" w:rsidRPr="006478FB" w:rsidRDefault="006478FB" w:rsidP="006478FB">
      <w:pPr>
        <w:pStyle w:val="FootnoteText"/>
      </w:pPr>
      <w:r>
        <w:rPr>
          <w:rStyle w:val="FootnoteReference"/>
        </w:rPr>
        <w:footnoteRef/>
      </w:r>
      <w:r>
        <w:t xml:space="preserve"> </w:t>
      </w:r>
      <w:r w:rsidRPr="006478FB">
        <w:t>For further study on the history of Emil Kraepelin and psychiatric eugenics/genetics, see Daniel R. Berger II, S</w:t>
      </w:r>
      <w:r w:rsidRPr="006478FB">
        <w:rPr>
          <w:i/>
        </w:rPr>
        <w:t xml:space="preserve">aving Abnormal: The Disorder of Psychiatric Genetics </w:t>
      </w:r>
      <w:r w:rsidRPr="006478FB">
        <w:t>(Taylors, SC: Alethia International Publications, 2020).</w:t>
      </w:r>
    </w:p>
    <w:p w14:paraId="0352D0CA" w14:textId="689D306E" w:rsidR="006478FB" w:rsidRDefault="006478FB">
      <w:pPr>
        <w:pStyle w:val="FootnoteText"/>
      </w:pPr>
    </w:p>
  </w:footnote>
  <w:footnote w:id="169">
    <w:p w14:paraId="09E0C6DF" w14:textId="52CB0D82" w:rsidR="00936988" w:rsidRPr="00936988" w:rsidRDefault="00936988">
      <w:pPr>
        <w:pStyle w:val="FootnoteText"/>
        <w:rPr>
          <w:color w:val="000000" w:themeColor="text1"/>
        </w:rPr>
      </w:pPr>
      <w:r w:rsidRPr="00936988">
        <w:rPr>
          <w:rStyle w:val="FootnoteReference"/>
          <w:color w:val="000000" w:themeColor="text1"/>
        </w:rPr>
        <w:footnoteRef/>
      </w:r>
      <w:r w:rsidRPr="00936988">
        <w:rPr>
          <w:color w:val="000000" w:themeColor="text1"/>
        </w:rPr>
        <w:t xml:space="preserve"> </w:t>
      </w:r>
      <w:r w:rsidRPr="00936988">
        <w:rPr>
          <w:color w:val="000000" w:themeColor="text1"/>
        </w:rPr>
        <w:t xml:space="preserve">Robert Lifton, </w:t>
      </w:r>
      <w:r w:rsidRPr="00936988">
        <w:rPr>
          <w:i/>
          <w:color w:val="000000" w:themeColor="text1"/>
        </w:rPr>
        <w:t xml:space="preserve">Nazi Doctors: Medical Killing and the Psychology of Genocide </w:t>
      </w:r>
      <w:r w:rsidRPr="00936988">
        <w:rPr>
          <w:color w:val="000000" w:themeColor="text1"/>
        </w:rPr>
        <w:t>(New York: Basic Books, 1986), 129-130.</w:t>
      </w:r>
    </w:p>
  </w:footnote>
  <w:footnote w:id="170">
    <w:p w14:paraId="31F284CF" w14:textId="41FCF176" w:rsidR="00936988" w:rsidRPr="00936988" w:rsidRDefault="00936988">
      <w:pPr>
        <w:pStyle w:val="FootnoteText"/>
        <w:rPr>
          <w:color w:val="000000" w:themeColor="text1"/>
        </w:rPr>
      </w:pPr>
      <w:r w:rsidRPr="00936988">
        <w:rPr>
          <w:rStyle w:val="FootnoteReference"/>
          <w:color w:val="000000" w:themeColor="text1"/>
        </w:rPr>
        <w:footnoteRef/>
      </w:r>
      <w:r w:rsidRPr="00936988">
        <w:rPr>
          <w:color w:val="000000" w:themeColor="text1"/>
        </w:rPr>
        <w:t xml:space="preserve"> </w:t>
      </w:r>
      <w:r w:rsidRPr="00936988">
        <w:rPr>
          <w:color w:val="000000" w:themeColor="text1"/>
        </w:rPr>
        <w:t>In the last third of the 20th century, the German psychiatrist Emil Kraepelin (1856-1926) became an icon of postpsychoanalytic medical-model psychiatry in the United States. His name became synonymous with a proto-biological, antipsychological, brain-based, and hard-nosed nosologic approach to psychiatr</w:t>
      </w:r>
      <w:r w:rsidRPr="00936988">
        <w:rPr>
          <w:color w:val="000000" w:themeColor="text1"/>
        </w:rPr>
        <w:t xml:space="preserve">y… </w:t>
      </w:r>
      <w:r w:rsidRPr="00936988">
        <w:rPr>
          <w:color w:val="000000" w:themeColor="text1"/>
        </w:rPr>
        <w:t>The historical</w:t>
      </w:r>
      <w:r>
        <w:rPr>
          <w:color w:val="000000" w:themeColor="text1"/>
        </w:rPr>
        <w:t xml:space="preserve"> </w:t>
      </w:r>
      <w:r w:rsidRPr="00936988">
        <w:rPr>
          <w:color w:val="000000" w:themeColor="text1"/>
        </w:rPr>
        <w:t xml:space="preserve">Kraepelin, who struggled with how to interrelate brain and mind-based approaches to psychiatric illness, and who appreciated the strengths and limitations of his clinically based nosology, still has quite a bit to teach modern psychiatry and can be a more generative forefather than the icon created by the neo-Kraepelinians.” E.J. Engstrom and Kenneth S. Kendler, “Emil Kraepelin: Icon and Reality,” </w:t>
      </w:r>
      <w:r w:rsidRPr="00936988">
        <w:rPr>
          <w:i/>
          <w:color w:val="000000" w:themeColor="text1"/>
        </w:rPr>
        <w:t xml:space="preserve">American Journal of Psychiatry </w:t>
      </w:r>
      <w:r w:rsidRPr="00936988">
        <w:rPr>
          <w:color w:val="000000" w:themeColor="text1"/>
        </w:rPr>
        <w:t xml:space="preserve">vol. 172 (12) (December 1, 2015): 1190-1196, </w:t>
      </w:r>
      <w:hyperlink r:id="rId60">
        <w:r w:rsidRPr="00936988">
          <w:rPr>
            <w:rStyle w:val="Hyperlink"/>
            <w:color w:val="000000" w:themeColor="text1"/>
            <w:u w:val="none"/>
          </w:rPr>
          <w:t>https://doi.org/10.1176/appi.ajp.2015.15050665).</w:t>
        </w:r>
      </w:hyperlink>
      <w:r w:rsidRPr="00936988">
        <w:rPr>
          <w:color w:val="000000" w:themeColor="text1"/>
        </w:rPr>
        <w:t xml:space="preserve"> Accessed March 5, 2021.</w:t>
      </w:r>
    </w:p>
  </w:footnote>
  <w:footnote w:id="171">
    <w:p w14:paraId="3BC9A77C" w14:textId="56602875" w:rsidR="00936988" w:rsidRPr="00936988" w:rsidRDefault="00936988" w:rsidP="00936988">
      <w:pPr>
        <w:pStyle w:val="FootnoteText"/>
      </w:pPr>
      <w:r>
        <w:rPr>
          <w:rStyle w:val="FootnoteReference"/>
        </w:rPr>
        <w:footnoteRef/>
      </w:r>
      <w:r>
        <w:t xml:space="preserve"> </w:t>
      </w:r>
      <w:r w:rsidRPr="00936988">
        <w:t xml:space="preserve">Michael B. King and Simon Dein, “The Spiritual Variable in Psychiatric Research,” </w:t>
      </w:r>
      <w:r w:rsidRPr="00936988">
        <w:rPr>
          <w:i/>
        </w:rPr>
        <w:t xml:space="preserve">Psychological Medicine </w:t>
      </w:r>
      <w:r w:rsidRPr="00936988">
        <w:t>vol. 28</w:t>
      </w:r>
      <w:r>
        <w:t xml:space="preserve"> </w:t>
      </w:r>
      <w:r w:rsidRPr="00936988">
        <w:t>(6) (November 1998): 1259-1262. Accessed March 5, 2021.</w:t>
      </w:r>
    </w:p>
    <w:p w14:paraId="3B34F8ED" w14:textId="422B06C8" w:rsidR="00936988" w:rsidRDefault="00936988">
      <w:pPr>
        <w:pStyle w:val="FootnoteText"/>
      </w:pPr>
    </w:p>
  </w:footnote>
  <w:footnote w:id="172">
    <w:p w14:paraId="4813FB88" w14:textId="0B14408F" w:rsidR="00936988" w:rsidRPr="009D206D" w:rsidRDefault="00936988">
      <w:pPr>
        <w:pStyle w:val="FootnoteText"/>
        <w:rPr>
          <w:color w:val="000000" w:themeColor="text1"/>
        </w:rPr>
      </w:pPr>
      <w:r w:rsidRPr="009D206D">
        <w:rPr>
          <w:rStyle w:val="FootnoteReference"/>
          <w:color w:val="000000" w:themeColor="text1"/>
        </w:rPr>
        <w:footnoteRef/>
      </w:r>
      <w:r w:rsidRPr="009D206D">
        <w:rPr>
          <w:color w:val="000000" w:themeColor="text1"/>
        </w:rPr>
        <w:t xml:space="preserve"> </w:t>
      </w:r>
      <w:r w:rsidRPr="009D206D">
        <w:rPr>
          <w:color w:val="000000" w:themeColor="text1"/>
        </w:rPr>
        <w:t xml:space="preserve">Allen Frances, </w:t>
      </w:r>
      <w:r w:rsidRPr="009D206D">
        <w:rPr>
          <w:i/>
          <w:color w:val="000000" w:themeColor="text1"/>
        </w:rPr>
        <w:t xml:space="preserve">Saving Normal: An Insider’s Revolt against Out-of-Control Psychiatric Diagnosis, DSM-5, Big Pharma, and the Medicalization of Ordinary Life </w:t>
      </w:r>
      <w:r w:rsidRPr="009D206D">
        <w:rPr>
          <w:color w:val="000000" w:themeColor="text1"/>
        </w:rPr>
        <w:t>(New York: HarperCollins, 2013), 17.</w:t>
      </w:r>
    </w:p>
  </w:footnote>
  <w:footnote w:id="173">
    <w:p w14:paraId="623D3FD4" w14:textId="3E9B9ACF" w:rsidR="009D206D" w:rsidRPr="009D206D" w:rsidRDefault="009D206D">
      <w:pPr>
        <w:pStyle w:val="FootnoteText"/>
        <w:rPr>
          <w:color w:val="000000" w:themeColor="text1"/>
        </w:rPr>
      </w:pPr>
      <w:r w:rsidRPr="009D206D">
        <w:rPr>
          <w:rStyle w:val="FootnoteReference"/>
          <w:color w:val="000000" w:themeColor="text1"/>
        </w:rPr>
        <w:footnoteRef/>
      </w:r>
      <w:r w:rsidRPr="009D206D">
        <w:rPr>
          <w:color w:val="000000" w:themeColor="text1"/>
        </w:rPr>
        <w:t xml:space="preserve"> </w:t>
      </w:r>
      <w:r w:rsidRPr="009D206D">
        <w:rPr>
          <w:color w:val="000000" w:themeColor="text1"/>
        </w:rPr>
        <w:t xml:space="preserve">Frances, </w:t>
      </w:r>
      <w:r w:rsidRPr="009D206D">
        <w:rPr>
          <w:i/>
          <w:color w:val="000000" w:themeColor="text1"/>
        </w:rPr>
        <w:t>Saving Normal</w:t>
      </w:r>
      <w:r w:rsidRPr="009D206D">
        <w:rPr>
          <w:color w:val="000000" w:themeColor="text1"/>
        </w:rPr>
        <w:t>, 17.</w:t>
      </w:r>
    </w:p>
  </w:footnote>
  <w:footnote w:id="174">
    <w:p w14:paraId="4C591031" w14:textId="77777777" w:rsidR="009D206D" w:rsidRPr="009D206D" w:rsidRDefault="009D206D" w:rsidP="009D206D">
      <w:pPr>
        <w:pStyle w:val="FootnoteText"/>
        <w:rPr>
          <w:color w:val="000000" w:themeColor="text1"/>
        </w:rPr>
      </w:pPr>
      <w:r w:rsidRPr="009D206D">
        <w:rPr>
          <w:rStyle w:val="FootnoteReference"/>
          <w:color w:val="000000" w:themeColor="text1"/>
        </w:rPr>
        <w:footnoteRef/>
      </w:r>
      <w:r w:rsidRPr="009D206D">
        <w:rPr>
          <w:color w:val="000000" w:themeColor="text1"/>
        </w:rPr>
        <w:t xml:space="preserve"> </w:t>
      </w:r>
      <w:r w:rsidRPr="009D206D">
        <w:rPr>
          <w:color w:val="000000" w:themeColor="text1"/>
        </w:rPr>
        <w:t xml:space="preserve">Peter Kinderman, Sarah Kamens, Brent Dean Robbins, Frank Farley, “Regarding the Reform and Revision of Diagnostic Systems,” </w:t>
      </w:r>
      <w:r w:rsidRPr="009D206D">
        <w:rPr>
          <w:i/>
          <w:color w:val="000000" w:themeColor="text1"/>
        </w:rPr>
        <w:t xml:space="preserve">The Society of Humanistic Psychology </w:t>
      </w:r>
      <w:r w:rsidRPr="009D206D">
        <w:rPr>
          <w:color w:val="000000" w:themeColor="text1"/>
        </w:rPr>
        <w:t xml:space="preserve">(February 24, 2020): </w:t>
      </w:r>
      <w:hyperlink r:id="rId61">
        <w:r w:rsidRPr="009D206D">
          <w:rPr>
            <w:rStyle w:val="Hyperlink"/>
            <w:color w:val="000000" w:themeColor="text1"/>
            <w:u w:val="none"/>
          </w:rPr>
          <w:t>https://www.apadivisions.org/</w:t>
        </w:r>
      </w:hyperlink>
      <w:r w:rsidRPr="009D206D">
        <w:rPr>
          <w:color w:val="000000" w:themeColor="text1"/>
        </w:rPr>
        <w:t xml:space="preserve"> division-32/leadership/task-forces/diagnostic-alternatives?fbclid=IwAR1H-im1pvshTI44xTxEMywLfwpY41fXj   ql87_L2OQlrzi11nZubnlbnT4A.</w:t>
      </w:r>
    </w:p>
    <w:p w14:paraId="4D08B792" w14:textId="0FCF14D3" w:rsidR="009D206D" w:rsidRDefault="009D206D">
      <w:pPr>
        <w:pStyle w:val="FootnoteText"/>
      </w:pPr>
    </w:p>
  </w:footnote>
  <w:footnote w:id="175">
    <w:p w14:paraId="29497CBD" w14:textId="77777777" w:rsidR="009D206D" w:rsidRPr="009D206D" w:rsidRDefault="009D206D" w:rsidP="009D206D">
      <w:pPr>
        <w:pStyle w:val="FootnoteText"/>
      </w:pPr>
      <w:r>
        <w:rPr>
          <w:rStyle w:val="FootnoteReference"/>
        </w:rPr>
        <w:footnoteRef/>
      </w:r>
      <w:r>
        <w:t xml:space="preserve"> </w:t>
      </w:r>
      <w:r w:rsidRPr="009D206D">
        <w:t xml:space="preserve">Bessel van der Kolk, </w:t>
      </w:r>
      <w:r w:rsidRPr="009D206D">
        <w:rPr>
          <w:i/>
        </w:rPr>
        <w:t xml:space="preserve">The Body Keeps the Score: Brain, Mind, and Body in the Healing of Trauma </w:t>
      </w:r>
      <w:r w:rsidRPr="009D206D">
        <w:t>(New York: Penguin, 2014), 27.</w:t>
      </w:r>
    </w:p>
    <w:p w14:paraId="55F5C898" w14:textId="03433A9A" w:rsidR="009D206D" w:rsidRDefault="009D206D">
      <w:pPr>
        <w:pStyle w:val="FootnoteText"/>
      </w:pPr>
    </w:p>
  </w:footnote>
  <w:footnote w:id="176">
    <w:p w14:paraId="23EDA753" w14:textId="77777777" w:rsidR="00722184" w:rsidRPr="00722184" w:rsidRDefault="00722184" w:rsidP="00722184">
      <w:pPr>
        <w:pStyle w:val="FootnoteText"/>
      </w:pPr>
      <w:r>
        <w:rPr>
          <w:rStyle w:val="FootnoteReference"/>
        </w:rPr>
        <w:footnoteRef/>
      </w:r>
      <w:r>
        <w:t xml:space="preserve"> </w:t>
      </w:r>
      <w:r w:rsidRPr="00722184">
        <w:t xml:space="preserve">Sigmund Freud, “Postscript to the Question of Lay Analysis,” </w:t>
      </w:r>
      <w:r w:rsidRPr="00722184">
        <w:rPr>
          <w:i/>
        </w:rPr>
        <w:t xml:space="preserve">SE </w:t>
      </w:r>
      <w:r w:rsidRPr="00722184">
        <w:t>20 (1927): 255-256.</w:t>
      </w:r>
    </w:p>
    <w:p w14:paraId="24ACE130" w14:textId="6F38EB19" w:rsidR="00722184" w:rsidRDefault="00722184">
      <w:pPr>
        <w:pStyle w:val="FootnoteText"/>
      </w:pPr>
    </w:p>
  </w:footnote>
  <w:footnote w:id="177">
    <w:p w14:paraId="4EE8891E" w14:textId="77777777" w:rsidR="00722184" w:rsidRPr="00722184" w:rsidRDefault="00722184" w:rsidP="00722184">
      <w:pPr>
        <w:pStyle w:val="FootnoteText"/>
      </w:pPr>
      <w:r>
        <w:rPr>
          <w:rStyle w:val="FootnoteReference"/>
        </w:rPr>
        <w:footnoteRef/>
      </w:r>
      <w:r>
        <w:t xml:space="preserve"> </w:t>
      </w:r>
      <w:r w:rsidRPr="00722184">
        <w:t xml:space="preserve">Peter R. Breggin, </w:t>
      </w:r>
      <w:r w:rsidRPr="00722184">
        <w:rPr>
          <w:i/>
        </w:rPr>
        <w:t xml:space="preserve">Toxic Psychiatry </w:t>
      </w:r>
      <w:r w:rsidRPr="00722184">
        <w:t>(New York: St. Martin’s Press, 1991), 375.</w:t>
      </w:r>
    </w:p>
    <w:p w14:paraId="3D6A1070" w14:textId="49E126E1" w:rsidR="00722184" w:rsidRDefault="00722184">
      <w:pPr>
        <w:pStyle w:val="FootnoteText"/>
      </w:pPr>
    </w:p>
  </w:footnote>
  <w:footnote w:id="178">
    <w:p w14:paraId="44B8E549" w14:textId="03AC58B4" w:rsidR="00722184" w:rsidRPr="00722184" w:rsidRDefault="00722184">
      <w:pPr>
        <w:pStyle w:val="FootnoteText"/>
        <w:rPr>
          <w:color w:val="000000" w:themeColor="text1"/>
        </w:rPr>
      </w:pPr>
      <w:r w:rsidRPr="00722184">
        <w:rPr>
          <w:rStyle w:val="FootnoteReference"/>
          <w:color w:val="000000" w:themeColor="text1"/>
        </w:rPr>
        <w:footnoteRef/>
      </w:r>
      <w:r w:rsidRPr="00722184">
        <w:rPr>
          <w:color w:val="000000" w:themeColor="text1"/>
        </w:rPr>
        <w:t xml:space="preserve"> </w:t>
      </w:r>
      <w:r w:rsidRPr="00722184">
        <w:rPr>
          <w:color w:val="000000" w:themeColor="text1"/>
        </w:rPr>
        <w:t xml:space="preserve">Benjamin Rush, quoted by David McCullough, </w:t>
      </w:r>
      <w:r w:rsidRPr="00722184">
        <w:rPr>
          <w:i/>
          <w:color w:val="000000" w:themeColor="text1"/>
        </w:rPr>
        <w:t xml:space="preserve">American Presidents: John Adams, Mornings on Horseback, Truman, and the Course of Human Events </w:t>
      </w:r>
      <w:r w:rsidRPr="00722184">
        <w:rPr>
          <w:color w:val="000000" w:themeColor="text1"/>
        </w:rPr>
        <w:t>(New York: Simon and Schuster, 2001), 609.</w:t>
      </w:r>
    </w:p>
  </w:footnote>
  <w:footnote w:id="179">
    <w:p w14:paraId="194709A4" w14:textId="77777777" w:rsidR="00722184" w:rsidRPr="00722184" w:rsidRDefault="00722184" w:rsidP="00722184">
      <w:pPr>
        <w:pStyle w:val="FootnoteText"/>
        <w:rPr>
          <w:color w:val="000000" w:themeColor="text1"/>
        </w:rPr>
      </w:pPr>
      <w:r w:rsidRPr="00722184">
        <w:rPr>
          <w:rStyle w:val="FootnoteReference"/>
          <w:color w:val="000000" w:themeColor="text1"/>
        </w:rPr>
        <w:footnoteRef/>
      </w:r>
      <w:r w:rsidRPr="00722184">
        <w:rPr>
          <w:color w:val="000000" w:themeColor="text1"/>
        </w:rPr>
        <w:t xml:space="preserve"> </w:t>
      </w:r>
      <w:r w:rsidRPr="00722184">
        <w:rPr>
          <w:color w:val="000000" w:themeColor="text1"/>
        </w:rPr>
        <w:t>Drew Ramsey and John M. Oldham, “A Brief History of American Psychiatry: From a Founding Father to Dr.</w:t>
      </w:r>
    </w:p>
    <w:p w14:paraId="0DEC8F95" w14:textId="015D5F1F" w:rsidR="00722184" w:rsidRPr="00722184" w:rsidRDefault="00722184">
      <w:pPr>
        <w:pStyle w:val="FootnoteText"/>
        <w:rPr>
          <w:color w:val="000000" w:themeColor="text1"/>
        </w:rPr>
      </w:pPr>
      <w:r w:rsidRPr="00722184">
        <w:rPr>
          <w:color w:val="000000" w:themeColor="text1"/>
        </w:rPr>
        <w:t xml:space="preserve">Anonymous,” </w:t>
      </w:r>
      <w:r w:rsidRPr="00722184">
        <w:rPr>
          <w:i/>
          <w:color w:val="000000" w:themeColor="text1"/>
        </w:rPr>
        <w:t xml:space="preserve">Medscape Psychiatry </w:t>
      </w:r>
      <w:r w:rsidRPr="00722184">
        <w:rPr>
          <w:color w:val="000000" w:themeColor="text1"/>
        </w:rPr>
        <w:t xml:space="preserve">(November 7, 2019): </w:t>
      </w:r>
      <w:hyperlink r:id="rId62">
        <w:r w:rsidRPr="00722184">
          <w:rPr>
            <w:rStyle w:val="Hyperlink"/>
            <w:color w:val="000000" w:themeColor="text1"/>
            <w:u w:val="none"/>
          </w:rPr>
          <w:t>https://www.medscape.com/viewarticle/917451?nlid=</w:t>
        </w:r>
      </w:hyperlink>
      <w:r w:rsidRPr="00722184">
        <w:rPr>
          <w:color w:val="000000" w:themeColor="text1"/>
        </w:rPr>
        <w:t xml:space="preserve"> 132561_424&amp;src=WNL_mdplsfeat_191112_mscpedit_psyc&amp;uac=264124BV&amp;spon=12&amp;impID=2164621&amp;faf=1.   Accessed February 17, 2021.</w:t>
      </w:r>
    </w:p>
  </w:footnote>
  <w:footnote w:id="180">
    <w:p w14:paraId="4381F4B6" w14:textId="78EB64D7" w:rsidR="00722184" w:rsidRPr="00722184" w:rsidRDefault="00722184" w:rsidP="00722184">
      <w:pPr>
        <w:pStyle w:val="FootnoteText"/>
        <w:rPr>
          <w:color w:val="000000" w:themeColor="text1"/>
        </w:rPr>
      </w:pPr>
      <w:r w:rsidRPr="00722184">
        <w:rPr>
          <w:rStyle w:val="FootnoteReference"/>
          <w:color w:val="000000" w:themeColor="text1"/>
        </w:rPr>
        <w:footnoteRef/>
      </w:r>
      <w:r w:rsidRPr="00722184">
        <w:rPr>
          <w:color w:val="000000" w:themeColor="text1"/>
        </w:rPr>
        <w:t xml:space="preserve"> </w:t>
      </w:r>
      <w:r w:rsidRPr="00722184">
        <w:rPr>
          <w:color w:val="000000" w:themeColor="text1"/>
        </w:rPr>
        <w:t xml:space="preserve">Dilip V. Jeste, “On the State of Psychiatry,” </w:t>
      </w:r>
      <w:r w:rsidRPr="00722184">
        <w:rPr>
          <w:i/>
          <w:color w:val="000000" w:themeColor="text1"/>
        </w:rPr>
        <w:t xml:space="preserve">Current Psychiatry </w:t>
      </w:r>
      <w:r w:rsidRPr="00722184">
        <w:rPr>
          <w:color w:val="000000" w:themeColor="text1"/>
        </w:rPr>
        <w:t>vol. 19 (12) (December 19, 2020): 34-36; https://</w:t>
      </w:r>
      <w:hyperlink r:id="rId63" w:history="1">
        <w:r w:rsidRPr="00722184">
          <w:rPr>
            <w:rStyle w:val="Hyperlink"/>
            <w:color w:val="000000" w:themeColor="text1"/>
            <w:u w:val="none"/>
          </w:rPr>
          <w:t>www.mdedge.com/psychiatry/article/</w:t>
        </w:r>
      </w:hyperlink>
      <w:r w:rsidRPr="00722184">
        <w:rPr>
          <w:color w:val="000000" w:themeColor="text1"/>
        </w:rPr>
        <w:t xml:space="preserve"> 232726 /dilip-v-jeste-md-state-psychiatry/page/0/2. Accessed January 1,</w:t>
      </w:r>
      <w:r w:rsidRPr="00722184">
        <w:rPr>
          <w:color w:val="000000" w:themeColor="text1"/>
        </w:rPr>
        <w:t xml:space="preserve"> </w:t>
      </w:r>
      <w:r w:rsidRPr="00722184">
        <w:rPr>
          <w:color w:val="000000" w:themeColor="text1"/>
        </w:rPr>
        <w:t>2021.</w:t>
      </w:r>
    </w:p>
    <w:p w14:paraId="48688230" w14:textId="6B95C29B" w:rsidR="00722184" w:rsidRDefault="00722184">
      <w:pPr>
        <w:pStyle w:val="FootnoteText"/>
      </w:pPr>
    </w:p>
  </w:footnote>
  <w:footnote w:id="181">
    <w:p w14:paraId="4BC828E5" w14:textId="64713AE2" w:rsidR="005A3775" w:rsidRDefault="005A3775">
      <w:pPr>
        <w:pStyle w:val="FootnoteText"/>
      </w:pPr>
      <w:r>
        <w:rPr>
          <w:rStyle w:val="FootnoteReference"/>
        </w:rPr>
        <w:footnoteRef/>
      </w:r>
      <w:r>
        <w:t xml:space="preserve"> </w:t>
      </w:r>
      <w:r w:rsidRPr="005A3775">
        <w:t>Caleb Gardner and Arthur Kleinman, “Medicine and the Mind, The Consequences of Psychiatry’s Identity Crisis,”</w:t>
      </w:r>
      <w:r>
        <w:t xml:space="preserve"> </w:t>
      </w:r>
      <w:r w:rsidRPr="005A3775">
        <w:rPr>
          <w:i/>
        </w:rPr>
        <w:t xml:space="preserve">The New England Journal of Medicine </w:t>
      </w:r>
      <w:r w:rsidRPr="005A3775">
        <w:t>vol. 381 (18) (October 31, 2019): 1697; DOI: 10.1056/NEJMp1910603.</w:t>
      </w:r>
      <w:r>
        <w:t xml:space="preserve"> </w:t>
      </w:r>
      <w:r w:rsidRPr="005A3775">
        <w:t>Accessed February 11, 2021.</w:t>
      </w:r>
    </w:p>
  </w:footnote>
  <w:footnote w:id="182">
    <w:p w14:paraId="1B61FCE9" w14:textId="00DE1FA9" w:rsidR="005A3775" w:rsidRPr="005A3775" w:rsidRDefault="005A3775" w:rsidP="005A3775">
      <w:pPr>
        <w:pStyle w:val="FootnoteText"/>
      </w:pPr>
      <w:r>
        <w:rPr>
          <w:rStyle w:val="FootnoteReference"/>
        </w:rPr>
        <w:footnoteRef/>
      </w:r>
      <w:r>
        <w:t xml:space="preserve"> </w:t>
      </w:r>
      <w:r w:rsidRPr="005A3775">
        <w:t xml:space="preserve">Estelle Dumas-Mallet and Francois Ganon, “Messaging in Biological Psychiatry: Misrepresentations, Their Causes, and Potential Consequences,” </w:t>
      </w:r>
      <w:r w:rsidRPr="005A3775">
        <w:rPr>
          <w:i/>
        </w:rPr>
        <w:t xml:space="preserve">The Harvard Review of Psychiatry </w:t>
      </w:r>
      <w:r w:rsidRPr="005A3775">
        <w:t>vol. 28 (6) (November 12, 2020): 395-403. DOI:</w:t>
      </w:r>
      <w:r>
        <w:t xml:space="preserve"> </w:t>
      </w:r>
      <w:r w:rsidRPr="005A3775">
        <w:t>10.1097/HRP.0000000000000276. Accessed February 11, 2021.</w:t>
      </w:r>
    </w:p>
    <w:p w14:paraId="1B17EC62" w14:textId="1930476C" w:rsidR="005A3775" w:rsidRDefault="005A3775">
      <w:pPr>
        <w:pStyle w:val="FootnoteText"/>
      </w:pPr>
    </w:p>
  </w:footnote>
  <w:footnote w:id="183">
    <w:p w14:paraId="36391B36" w14:textId="57164365" w:rsidR="005A3775" w:rsidRDefault="005A3775">
      <w:pPr>
        <w:pStyle w:val="FootnoteText"/>
      </w:pPr>
      <w:r w:rsidRPr="005A3775">
        <w:rPr>
          <w:rStyle w:val="FootnoteReference"/>
          <w:color w:val="000000" w:themeColor="text1"/>
        </w:rPr>
        <w:footnoteRef/>
      </w:r>
      <w:r w:rsidRPr="005A3775">
        <w:rPr>
          <w:color w:val="000000" w:themeColor="text1"/>
        </w:rPr>
        <w:t xml:space="preserve"> </w:t>
      </w:r>
      <w:r w:rsidRPr="005A3775">
        <w:rPr>
          <w:color w:val="000000" w:themeColor="text1"/>
        </w:rPr>
        <w:t xml:space="preserve">Sami Tamimi interviewed by Awais Aftab, “Psychiatry and the Shores of Social Construction: Sami, Timimi, MD,” </w:t>
      </w:r>
      <w:r w:rsidRPr="005A3775">
        <w:rPr>
          <w:i/>
          <w:color w:val="000000" w:themeColor="text1"/>
        </w:rPr>
        <w:t xml:space="preserve">The Psychiatric Times </w:t>
      </w:r>
      <w:r w:rsidRPr="005A3775">
        <w:rPr>
          <w:color w:val="000000" w:themeColor="text1"/>
        </w:rPr>
        <w:t xml:space="preserve">(March 12, 2021): </w:t>
      </w:r>
      <w:hyperlink r:id="rId64">
        <w:r w:rsidRPr="005A3775">
          <w:rPr>
            <w:rStyle w:val="Hyperlink"/>
            <w:color w:val="000000" w:themeColor="text1"/>
            <w:u w:val="none"/>
          </w:rPr>
          <w:t>https://www.psychiatrictimes.com/view/psychiatry-social-construction-</w:t>
        </w:r>
      </w:hyperlink>
      <w:r w:rsidRPr="005A3775">
        <w:rPr>
          <w:color w:val="000000" w:themeColor="text1"/>
        </w:rPr>
        <w:t>sami-timimi. Accessed March 14</w:t>
      </w:r>
      <w:r w:rsidRPr="005A3775">
        <w:t>, 2021.</w:t>
      </w:r>
    </w:p>
  </w:footnote>
  <w:footnote w:id="184">
    <w:p w14:paraId="347DED9B" w14:textId="4CFB130A" w:rsidR="005A3775" w:rsidRDefault="005A3775">
      <w:pPr>
        <w:pStyle w:val="FootnoteText"/>
      </w:pPr>
      <w:r>
        <w:rPr>
          <w:rStyle w:val="FootnoteReference"/>
        </w:rPr>
        <w:footnoteRef/>
      </w:r>
      <w:r>
        <w:t xml:space="preserve"> Ibid.</w:t>
      </w:r>
    </w:p>
  </w:footnote>
  <w:footnote w:id="185">
    <w:p w14:paraId="1AEF3169" w14:textId="0BB6896F" w:rsidR="005A3775" w:rsidRDefault="005A3775">
      <w:pPr>
        <w:pStyle w:val="FootnoteText"/>
      </w:pPr>
      <w:r>
        <w:rPr>
          <w:rStyle w:val="FootnoteReference"/>
        </w:rPr>
        <w:footnoteRef/>
      </w:r>
      <w:r>
        <w:t xml:space="preserve"> </w:t>
      </w:r>
      <w:r w:rsidRPr="005A3775">
        <w:t xml:space="preserve">Sally Satel and Scott Lilienfeld, </w:t>
      </w:r>
      <w:r w:rsidRPr="005A3775">
        <w:rPr>
          <w:i/>
        </w:rPr>
        <w:t xml:space="preserve">Brainwashed: The Seductive Appeal of Mindless Neuroscience </w:t>
      </w:r>
      <w:r w:rsidRPr="005A3775">
        <w:t>(New York: Basic Books, 2013), 130.</w:t>
      </w:r>
    </w:p>
  </w:footnote>
  <w:footnote w:id="186">
    <w:p w14:paraId="7D5B9E02" w14:textId="77777777" w:rsidR="005A3775" w:rsidRPr="005A3775" w:rsidRDefault="005A3775" w:rsidP="005A3775">
      <w:pPr>
        <w:pStyle w:val="FootnoteText"/>
      </w:pPr>
      <w:r>
        <w:rPr>
          <w:rStyle w:val="FootnoteReference"/>
        </w:rPr>
        <w:footnoteRef/>
      </w:r>
      <w:r>
        <w:t xml:space="preserve"> </w:t>
      </w:r>
      <w:r w:rsidRPr="005A3775">
        <w:t>Andreasen, “</w:t>
      </w:r>
      <w:r w:rsidRPr="005A3775">
        <w:rPr>
          <w:i/>
        </w:rPr>
        <w:t xml:space="preserve">DSM </w:t>
      </w:r>
      <w:r w:rsidRPr="005A3775">
        <w:t>and the Death of Phenomenology in America.”</w:t>
      </w:r>
    </w:p>
    <w:p w14:paraId="33A57E54" w14:textId="3EC9A119" w:rsidR="005A3775" w:rsidRDefault="005A3775">
      <w:pPr>
        <w:pStyle w:val="FootnoteText"/>
      </w:pPr>
    </w:p>
  </w:footnote>
  <w:footnote w:id="187">
    <w:p w14:paraId="7B5E643F" w14:textId="668E7776" w:rsidR="005A3775" w:rsidRDefault="005A3775">
      <w:pPr>
        <w:pStyle w:val="FootnoteText"/>
      </w:pPr>
      <w:r>
        <w:rPr>
          <w:rStyle w:val="FootnoteReference"/>
        </w:rPr>
        <w:footnoteRef/>
      </w:r>
      <w:r>
        <w:t xml:space="preserve"> </w:t>
      </w:r>
      <w:r w:rsidRPr="005A3775">
        <w:t xml:space="preserve">Richard C. Lewontin, “Billions and Billions of Demons,” review of </w:t>
      </w:r>
      <w:r w:rsidRPr="005A3775">
        <w:rPr>
          <w:i/>
        </w:rPr>
        <w:t>The Demon-Haunted World: Science as a Candle in the Dark</w:t>
      </w:r>
      <w:r w:rsidRPr="005A3775">
        <w:t>, by Carl Sagan, New York Review of Books (January 7, 1997), 31. Accessed February 22, 2021.</w:t>
      </w:r>
    </w:p>
  </w:footnote>
  <w:footnote w:id="188">
    <w:p w14:paraId="5034ADEA" w14:textId="77777777" w:rsidR="00794DB2" w:rsidRPr="00794DB2" w:rsidRDefault="00794DB2" w:rsidP="00794DB2">
      <w:pPr>
        <w:pStyle w:val="FootnoteText"/>
      </w:pPr>
      <w:r>
        <w:rPr>
          <w:rStyle w:val="FootnoteReference"/>
        </w:rPr>
        <w:footnoteRef/>
      </w:r>
      <w:r>
        <w:t xml:space="preserve"> </w:t>
      </w:r>
      <w:r w:rsidRPr="00794DB2">
        <w:t xml:space="preserve">Frances, </w:t>
      </w:r>
      <w:r w:rsidRPr="00794DB2">
        <w:rPr>
          <w:i/>
        </w:rPr>
        <w:t xml:space="preserve">Saving Normal, </w:t>
      </w:r>
      <w:r w:rsidRPr="00794DB2">
        <w:t>125.</w:t>
      </w:r>
    </w:p>
    <w:p w14:paraId="1FE6292E" w14:textId="1000C187" w:rsidR="00794DB2" w:rsidRDefault="00794DB2">
      <w:pPr>
        <w:pStyle w:val="FootnoteText"/>
      </w:pPr>
    </w:p>
  </w:footnote>
  <w:footnote w:id="189">
    <w:p w14:paraId="7124136A" w14:textId="77777777" w:rsidR="00794DB2" w:rsidRPr="00794DB2" w:rsidRDefault="00794DB2" w:rsidP="00794DB2">
      <w:pPr>
        <w:pStyle w:val="FootnoteText"/>
      </w:pPr>
      <w:r>
        <w:rPr>
          <w:rStyle w:val="FootnoteReference"/>
        </w:rPr>
        <w:footnoteRef/>
      </w:r>
      <w:r>
        <w:t xml:space="preserve"> </w:t>
      </w:r>
      <w:r w:rsidRPr="00794DB2">
        <w:t xml:space="preserve">Candace Pert, </w:t>
      </w:r>
      <w:r w:rsidRPr="00794DB2">
        <w:rPr>
          <w:i/>
        </w:rPr>
        <w:t xml:space="preserve">Molecules of Emotion: The Science behind Mind-Body Medicine </w:t>
      </w:r>
      <w:r w:rsidRPr="00794DB2">
        <w:t>(New York: Scribner, 1997), 18.</w:t>
      </w:r>
    </w:p>
    <w:p w14:paraId="7F4A17FD" w14:textId="1009BF39" w:rsidR="00794DB2" w:rsidRDefault="00794DB2">
      <w:pPr>
        <w:pStyle w:val="FootnoteText"/>
      </w:pPr>
    </w:p>
  </w:footnote>
  <w:footnote w:id="190">
    <w:p w14:paraId="33C8AD6D" w14:textId="77777777" w:rsidR="00FF4D22" w:rsidRPr="000D3491" w:rsidRDefault="00FF4D22" w:rsidP="00FF4D22">
      <w:pPr>
        <w:pStyle w:val="FootnoteText"/>
        <w:rPr>
          <w:color w:val="000000" w:themeColor="text1"/>
        </w:rPr>
      </w:pPr>
      <w:r w:rsidRPr="000D3491">
        <w:rPr>
          <w:rStyle w:val="FootnoteReference"/>
          <w:color w:val="000000" w:themeColor="text1"/>
        </w:rPr>
        <w:footnoteRef/>
      </w:r>
      <w:r w:rsidRPr="000D3491">
        <w:rPr>
          <w:color w:val="000000" w:themeColor="text1"/>
        </w:rPr>
        <w:t xml:space="preserve"> </w:t>
      </w:r>
      <w:r w:rsidRPr="000D3491">
        <w:rPr>
          <w:color w:val="000000" w:themeColor="text1"/>
        </w:rPr>
        <w:t xml:space="preserve">Robert Daly quoted by Ronald W. Pies, “What Kind of Science is Psychiatry?” </w:t>
      </w:r>
      <w:r w:rsidRPr="000D3491">
        <w:rPr>
          <w:i/>
          <w:color w:val="000000" w:themeColor="text1"/>
        </w:rPr>
        <w:t xml:space="preserve">The Psychiatric Times </w:t>
      </w:r>
      <w:r w:rsidRPr="000D3491">
        <w:rPr>
          <w:color w:val="000000" w:themeColor="text1"/>
        </w:rPr>
        <w:t xml:space="preserve">(October 21, 2020): </w:t>
      </w:r>
      <w:hyperlink r:id="rId65">
        <w:r w:rsidRPr="000D3491">
          <w:rPr>
            <w:rStyle w:val="Hyperlink"/>
            <w:color w:val="000000" w:themeColor="text1"/>
            <w:u w:val="none"/>
          </w:rPr>
          <w:t>https://www.psychiatrictimes.com/view/what-kind-of-science-is-psychiatry-.</w:t>
        </w:r>
      </w:hyperlink>
      <w:r w:rsidRPr="000D3491">
        <w:rPr>
          <w:color w:val="000000" w:themeColor="text1"/>
        </w:rPr>
        <w:t xml:space="preserve"> Accessed March 14, 2021.</w:t>
      </w:r>
    </w:p>
    <w:p w14:paraId="02970976" w14:textId="34B1EB84" w:rsidR="00FF4D22" w:rsidRPr="000D3491" w:rsidRDefault="00FF4D22">
      <w:pPr>
        <w:pStyle w:val="FootnoteText"/>
        <w:rPr>
          <w:color w:val="000000" w:themeColor="text1"/>
        </w:rPr>
      </w:pPr>
    </w:p>
  </w:footnote>
  <w:footnote w:id="191">
    <w:p w14:paraId="1CE50C43" w14:textId="77777777" w:rsidR="000D3491" w:rsidRPr="000D3491" w:rsidRDefault="000D3491" w:rsidP="000D3491">
      <w:pPr>
        <w:pStyle w:val="FootnoteText"/>
        <w:rPr>
          <w:color w:val="000000" w:themeColor="text1"/>
        </w:rPr>
      </w:pPr>
      <w:r w:rsidRPr="000D3491">
        <w:rPr>
          <w:rStyle w:val="FootnoteReference"/>
          <w:color w:val="000000" w:themeColor="text1"/>
        </w:rPr>
        <w:footnoteRef/>
      </w:r>
      <w:r w:rsidRPr="000D3491">
        <w:rPr>
          <w:color w:val="000000" w:themeColor="text1"/>
        </w:rPr>
        <w:t xml:space="preserve"> </w:t>
      </w:r>
      <w:r w:rsidRPr="000D3491">
        <w:rPr>
          <w:color w:val="000000" w:themeColor="text1"/>
        </w:rPr>
        <w:t xml:space="preserve">Guilherme Messas, Melissa Tamelini, Milena Mancini, and Giovanni Stanghelini, “New Perspectives in Phenomenological Psychopathology: Its Use in Psychiatric Treatment,” </w:t>
      </w:r>
      <w:r w:rsidRPr="000D3491">
        <w:rPr>
          <w:i/>
          <w:color w:val="000000" w:themeColor="text1"/>
        </w:rPr>
        <w:t>Frontiers in Psychiatry</w:t>
      </w:r>
      <w:r w:rsidRPr="000D3491">
        <w:rPr>
          <w:color w:val="000000" w:themeColor="text1"/>
        </w:rPr>
        <w:t>, vol. 9 (September 28, 2018): 466. DOI: 10.3389/fpsyt.2018.00466. Accessed March 14, 2021.</w:t>
      </w:r>
    </w:p>
    <w:p w14:paraId="66E41B64" w14:textId="1A141C11" w:rsidR="000D3491" w:rsidRPr="000D3491" w:rsidRDefault="000D3491">
      <w:pPr>
        <w:pStyle w:val="FootnoteText"/>
        <w:rPr>
          <w:color w:val="000000" w:themeColor="text1"/>
        </w:rPr>
      </w:pPr>
    </w:p>
  </w:footnote>
  <w:footnote w:id="192">
    <w:p w14:paraId="7DD20EE1" w14:textId="47081FC5" w:rsidR="000D3491" w:rsidRPr="000D3491" w:rsidRDefault="000D3491" w:rsidP="000D3491">
      <w:pPr>
        <w:pStyle w:val="FootnoteText"/>
        <w:rPr>
          <w:color w:val="000000" w:themeColor="text1"/>
        </w:rPr>
      </w:pPr>
      <w:r w:rsidRPr="000D3491">
        <w:rPr>
          <w:rStyle w:val="FootnoteReference"/>
          <w:color w:val="000000" w:themeColor="text1"/>
        </w:rPr>
        <w:footnoteRef/>
      </w:r>
      <w:r w:rsidRPr="000D3491">
        <w:rPr>
          <w:color w:val="000000" w:themeColor="text1"/>
        </w:rPr>
        <w:t xml:space="preserve"> </w:t>
      </w:r>
      <w:r w:rsidRPr="000D3491">
        <w:rPr>
          <w:color w:val="000000" w:themeColor="text1"/>
        </w:rPr>
        <w:t>Michael Schwartz commenting with Ronald W. Pies, “The 5-Minute Phenomenologist: A Primer for Psychiatrists,”</w:t>
      </w:r>
      <w:r>
        <w:rPr>
          <w:color w:val="000000" w:themeColor="text1"/>
        </w:rPr>
        <w:t xml:space="preserve"> </w:t>
      </w:r>
      <w:r w:rsidRPr="000D3491">
        <w:rPr>
          <w:i/>
          <w:color w:val="000000" w:themeColor="text1"/>
        </w:rPr>
        <w:t xml:space="preserve">The Psychiatric Times </w:t>
      </w:r>
      <w:r w:rsidRPr="000D3491">
        <w:rPr>
          <w:color w:val="000000" w:themeColor="text1"/>
        </w:rPr>
        <w:t xml:space="preserve">vol. 27 (10) (April 29, 2010): </w:t>
      </w:r>
      <w:hyperlink r:id="rId66">
        <w:r w:rsidRPr="000D3491">
          <w:rPr>
            <w:rStyle w:val="Hyperlink"/>
            <w:color w:val="000000" w:themeColor="text1"/>
            <w:u w:val="none"/>
          </w:rPr>
          <w:t>https://www.psychiatrictimes.com/view/5-minute-</w:t>
        </w:r>
      </w:hyperlink>
    </w:p>
    <w:p w14:paraId="6840F579" w14:textId="7E91D67B" w:rsidR="000D3491" w:rsidRDefault="000D3491">
      <w:pPr>
        <w:pStyle w:val="FootnoteText"/>
      </w:pPr>
    </w:p>
  </w:footnote>
  <w:footnote w:id="193">
    <w:p w14:paraId="5339D5FB" w14:textId="394F6159" w:rsidR="000D3491" w:rsidRPr="00EA24F7" w:rsidRDefault="000D3491">
      <w:pPr>
        <w:pStyle w:val="FootnoteText"/>
        <w:rPr>
          <w:color w:val="000000" w:themeColor="text1"/>
        </w:rPr>
      </w:pPr>
      <w:r w:rsidRPr="000D3491">
        <w:rPr>
          <w:rStyle w:val="FootnoteReference"/>
          <w:color w:val="000000" w:themeColor="text1"/>
        </w:rPr>
        <w:footnoteRef/>
      </w:r>
      <w:r w:rsidRPr="000D3491">
        <w:rPr>
          <w:color w:val="000000" w:themeColor="text1"/>
        </w:rPr>
        <w:t xml:space="preserve"> </w:t>
      </w:r>
      <w:r w:rsidRPr="000D3491">
        <w:rPr>
          <w:color w:val="000000" w:themeColor="text1"/>
        </w:rPr>
        <w:t xml:space="preserve">Thomas Fuchs, Guilherme P. Messas, and Giovanni Stanghellini, “More than Just Description: Phenomenology and Psychotherapy,” </w:t>
      </w:r>
      <w:r w:rsidRPr="000D3491">
        <w:rPr>
          <w:i/>
          <w:color w:val="000000" w:themeColor="text1"/>
        </w:rPr>
        <w:t xml:space="preserve">Psychopathology </w:t>
      </w:r>
      <w:r w:rsidRPr="000D3491">
        <w:rPr>
          <w:color w:val="000000" w:themeColor="text1"/>
        </w:rPr>
        <w:t xml:space="preserve">vol. 52 (2) (August 9, 2019): </w:t>
      </w:r>
      <w:hyperlink r:id="rId67">
        <w:r w:rsidRPr="000D3491">
          <w:rPr>
            <w:rStyle w:val="Hyperlink"/>
            <w:color w:val="000000" w:themeColor="text1"/>
            <w:u w:val="none"/>
          </w:rPr>
          <w:t>https://doi.org/10.1159/000502266.</w:t>
        </w:r>
      </w:hyperlink>
      <w:r w:rsidRPr="000D3491">
        <w:rPr>
          <w:color w:val="000000" w:themeColor="text1"/>
        </w:rPr>
        <w:t xml:space="preserve"> Accessed March</w:t>
      </w:r>
      <w:r w:rsidRPr="000D3491">
        <w:rPr>
          <w:color w:val="000000" w:themeColor="text1"/>
        </w:rPr>
        <w:t xml:space="preserve"> </w:t>
      </w:r>
      <w:r w:rsidRPr="000D3491">
        <w:rPr>
          <w:color w:val="000000" w:themeColor="text1"/>
        </w:rPr>
        <w:t>6, 2021.</w:t>
      </w:r>
    </w:p>
  </w:footnote>
  <w:footnote w:id="194">
    <w:p w14:paraId="1999953D" w14:textId="5BA0CFA8" w:rsidR="00EA24F7" w:rsidRDefault="00EA24F7">
      <w:pPr>
        <w:pStyle w:val="FootnoteText"/>
      </w:pPr>
      <w:r>
        <w:rPr>
          <w:rStyle w:val="FootnoteReference"/>
        </w:rPr>
        <w:footnoteRef/>
      </w:r>
      <w:r>
        <w:t xml:space="preserve"> </w:t>
      </w:r>
      <w:r w:rsidRPr="00EA24F7">
        <w:t xml:space="preserve">Andrew Sims, </w:t>
      </w:r>
      <w:r w:rsidRPr="00EA24F7">
        <w:rPr>
          <w:i/>
        </w:rPr>
        <w:t xml:space="preserve">Is Faith Delusion? Why Religion is Good for Your Health </w:t>
      </w:r>
      <w:r w:rsidRPr="00EA24F7">
        <w:t>(London: Continuum, 2009), 146.</w:t>
      </w:r>
    </w:p>
  </w:footnote>
  <w:footnote w:id="195">
    <w:p w14:paraId="4EDAEA14" w14:textId="77777777" w:rsidR="00D749AA" w:rsidRPr="00D749AA" w:rsidRDefault="00D749AA" w:rsidP="00D749AA">
      <w:pPr>
        <w:pStyle w:val="FootnoteText"/>
      </w:pPr>
      <w:r>
        <w:rPr>
          <w:rStyle w:val="FootnoteReference"/>
        </w:rPr>
        <w:footnoteRef/>
      </w:r>
      <w:r>
        <w:t xml:space="preserve"> </w:t>
      </w:r>
      <w:r w:rsidRPr="00D749AA">
        <w:t xml:space="preserve">Paul S. Appelbaum, </w:t>
      </w:r>
      <w:r w:rsidRPr="00D749AA">
        <w:rPr>
          <w:i/>
        </w:rPr>
        <w:t>Philosophy of Psychiatry: A Companion</w:t>
      </w:r>
      <w:r w:rsidRPr="00D749AA">
        <w:t>, edited by Jennifer Radden (New York: Oxford University Press, 2014), foreword viii.</w:t>
      </w:r>
    </w:p>
    <w:p w14:paraId="3856598A" w14:textId="3F52E0F3" w:rsidR="00D749AA" w:rsidRDefault="00D749AA">
      <w:pPr>
        <w:pStyle w:val="FootnoteText"/>
      </w:pPr>
    </w:p>
  </w:footnote>
  <w:footnote w:id="196">
    <w:p w14:paraId="526F9FFB" w14:textId="77777777" w:rsidR="00D749AA" w:rsidRPr="007347E7" w:rsidRDefault="00D749AA" w:rsidP="00D749AA">
      <w:pPr>
        <w:pStyle w:val="FootnoteText"/>
        <w:rPr>
          <w:i/>
          <w:color w:val="000000" w:themeColor="text1"/>
        </w:rPr>
      </w:pPr>
      <w:r w:rsidRPr="007347E7">
        <w:rPr>
          <w:rStyle w:val="FootnoteReference"/>
          <w:color w:val="000000" w:themeColor="text1"/>
        </w:rPr>
        <w:footnoteRef/>
      </w:r>
      <w:r w:rsidRPr="007347E7">
        <w:rPr>
          <w:color w:val="000000" w:themeColor="text1"/>
        </w:rPr>
        <w:t xml:space="preserve"> </w:t>
      </w:r>
      <w:r w:rsidRPr="007347E7">
        <w:rPr>
          <w:color w:val="000000" w:themeColor="text1"/>
        </w:rPr>
        <w:t xml:space="preserve">Nassir Ghaemi, “One Step Back, Two Steps Forward: The Solution to </w:t>
      </w:r>
      <w:r w:rsidRPr="007347E7">
        <w:rPr>
          <w:i/>
          <w:color w:val="000000" w:themeColor="text1"/>
        </w:rPr>
        <w:t xml:space="preserve">DSM </w:t>
      </w:r>
      <w:r w:rsidRPr="007347E7">
        <w:rPr>
          <w:color w:val="000000" w:themeColor="text1"/>
        </w:rPr>
        <w:t xml:space="preserve">and drugs?” </w:t>
      </w:r>
      <w:r w:rsidRPr="007347E7">
        <w:rPr>
          <w:i/>
          <w:color w:val="000000" w:themeColor="text1"/>
        </w:rPr>
        <w:t>Medscape Psychiatry</w:t>
      </w:r>
    </w:p>
    <w:p w14:paraId="3B2A74E4" w14:textId="661EC8B9" w:rsidR="00D749AA" w:rsidRPr="007347E7" w:rsidRDefault="00D749AA">
      <w:pPr>
        <w:pStyle w:val="FootnoteText"/>
        <w:rPr>
          <w:color w:val="000000" w:themeColor="text1"/>
        </w:rPr>
      </w:pPr>
      <w:r w:rsidRPr="00D749AA">
        <w:rPr>
          <w:color w:val="000000" w:themeColor="text1"/>
        </w:rPr>
        <w:t xml:space="preserve">(January 15, 2013): </w:t>
      </w:r>
      <w:hyperlink r:id="rId68">
        <w:r w:rsidRPr="00D749AA">
          <w:rPr>
            <w:rStyle w:val="Hyperlink"/>
            <w:color w:val="000000" w:themeColor="text1"/>
            <w:u w:val="none"/>
          </w:rPr>
          <w:t>http://boards.medscape.com/forums/?128@@.2a37df02!</w:t>
        </w:r>
      </w:hyperlink>
      <w:r w:rsidRPr="00D749AA">
        <w:rPr>
          <w:color w:val="000000" w:themeColor="text1"/>
        </w:rPr>
        <w:t xml:space="preserve"> comment=1&amp;cat=All. Accessed</w:t>
      </w:r>
      <w:r w:rsidRPr="007347E7">
        <w:rPr>
          <w:color w:val="000000" w:themeColor="text1"/>
        </w:rPr>
        <w:t xml:space="preserve"> </w:t>
      </w:r>
      <w:r w:rsidRPr="00D749AA">
        <w:rPr>
          <w:color w:val="000000" w:themeColor="text1"/>
        </w:rPr>
        <w:t>March 10, 2021.</w:t>
      </w:r>
    </w:p>
  </w:footnote>
  <w:footnote w:id="197">
    <w:p w14:paraId="19928032" w14:textId="0CDE9EAE" w:rsidR="00D749AA" w:rsidRPr="007347E7" w:rsidRDefault="00D749AA">
      <w:pPr>
        <w:pStyle w:val="FootnoteText"/>
        <w:rPr>
          <w:color w:val="000000" w:themeColor="text1"/>
        </w:rPr>
      </w:pPr>
      <w:r w:rsidRPr="007347E7">
        <w:rPr>
          <w:rStyle w:val="FootnoteReference"/>
          <w:color w:val="000000" w:themeColor="text1"/>
        </w:rPr>
        <w:footnoteRef/>
      </w:r>
      <w:r w:rsidRPr="007347E7">
        <w:rPr>
          <w:color w:val="000000" w:themeColor="text1"/>
        </w:rPr>
        <w:t xml:space="preserve"> </w:t>
      </w:r>
      <w:r w:rsidRPr="007347E7">
        <w:rPr>
          <w:color w:val="000000" w:themeColor="text1"/>
        </w:rPr>
        <w:t>Andreasen, “</w:t>
      </w:r>
      <w:r w:rsidRPr="007347E7">
        <w:rPr>
          <w:i/>
          <w:color w:val="000000" w:themeColor="text1"/>
        </w:rPr>
        <w:t xml:space="preserve">DSM </w:t>
      </w:r>
      <w:r w:rsidRPr="007347E7">
        <w:rPr>
          <w:color w:val="000000" w:themeColor="text1"/>
        </w:rPr>
        <w:t>and the Death of Phenomenology.”</w:t>
      </w:r>
    </w:p>
  </w:footnote>
  <w:footnote w:id="198">
    <w:p w14:paraId="3F4F24F3" w14:textId="537A21AC" w:rsidR="007347E7" w:rsidRPr="007347E7" w:rsidRDefault="007347E7">
      <w:pPr>
        <w:pStyle w:val="FootnoteText"/>
        <w:rPr>
          <w:color w:val="000000" w:themeColor="text1"/>
        </w:rPr>
      </w:pPr>
      <w:r w:rsidRPr="007347E7">
        <w:rPr>
          <w:rStyle w:val="FootnoteReference"/>
          <w:color w:val="000000" w:themeColor="text1"/>
        </w:rPr>
        <w:footnoteRef/>
      </w:r>
      <w:r w:rsidRPr="007347E7">
        <w:rPr>
          <w:color w:val="000000" w:themeColor="text1"/>
        </w:rPr>
        <w:t xml:space="preserve"> </w:t>
      </w:r>
      <w:r w:rsidRPr="007347E7">
        <w:rPr>
          <w:color w:val="000000" w:themeColor="text1"/>
        </w:rPr>
        <w:t xml:space="preserve">Anna Drozdzowicz, “Increasing the Role of Phenomenology in Psychiatric Diagnosis—The Clinical Staging Approach,” </w:t>
      </w:r>
      <w:r w:rsidRPr="007347E7">
        <w:rPr>
          <w:i/>
          <w:color w:val="000000" w:themeColor="text1"/>
        </w:rPr>
        <w:t xml:space="preserve">The Journal of Medicine and Philosophy: A Forum for Bioethics and Philosophy of Medicine, </w:t>
      </w:r>
      <w:r w:rsidRPr="007347E7">
        <w:rPr>
          <w:color w:val="000000" w:themeColor="text1"/>
        </w:rPr>
        <w:t xml:space="preserve">vol. 45 (6) (December 2020): 683-702; </w:t>
      </w:r>
      <w:hyperlink r:id="rId69">
        <w:r w:rsidRPr="007347E7">
          <w:rPr>
            <w:rStyle w:val="Hyperlink"/>
            <w:color w:val="000000" w:themeColor="text1"/>
            <w:u w:val="none"/>
          </w:rPr>
          <w:t>https://doi.org/10.1093/jmp/jhaa022.</w:t>
        </w:r>
      </w:hyperlink>
    </w:p>
  </w:footnote>
  <w:footnote w:id="199">
    <w:p w14:paraId="4F7C9948" w14:textId="77777777" w:rsidR="007347E7" w:rsidRPr="007347E7" w:rsidRDefault="007347E7" w:rsidP="007347E7">
      <w:pPr>
        <w:pStyle w:val="FootnoteText"/>
        <w:rPr>
          <w:color w:val="000000" w:themeColor="text1"/>
        </w:rPr>
      </w:pPr>
      <w:r w:rsidRPr="007347E7">
        <w:rPr>
          <w:rStyle w:val="FootnoteReference"/>
          <w:color w:val="000000" w:themeColor="text1"/>
        </w:rPr>
        <w:footnoteRef/>
      </w:r>
      <w:r w:rsidRPr="007347E7">
        <w:rPr>
          <w:color w:val="000000" w:themeColor="text1"/>
        </w:rPr>
        <w:t xml:space="preserve"> </w:t>
      </w:r>
      <w:r w:rsidRPr="007347E7">
        <w:rPr>
          <w:color w:val="000000" w:themeColor="text1"/>
        </w:rPr>
        <w:t>Henri F. Ellenberger, “A Clinical Introduction to Psychiatric Phenomenology and Existential Analysis,” a</w:t>
      </w:r>
    </w:p>
    <w:p w14:paraId="6BBE5560" w14:textId="0C976C22" w:rsidR="007347E7" w:rsidRPr="007347E7" w:rsidRDefault="007347E7">
      <w:pPr>
        <w:pStyle w:val="FootnoteText"/>
        <w:rPr>
          <w:color w:val="000000" w:themeColor="text1"/>
        </w:rPr>
      </w:pPr>
      <w:r w:rsidRPr="007347E7">
        <w:rPr>
          <w:color w:val="000000" w:themeColor="text1"/>
        </w:rPr>
        <w:t xml:space="preserve">chapter in the book edited by R. May, E. Angel, and H. F. Ellenberger, </w:t>
      </w:r>
      <w:r w:rsidRPr="007347E7">
        <w:rPr>
          <w:i/>
          <w:color w:val="000000" w:themeColor="text1"/>
        </w:rPr>
        <w:t xml:space="preserve">Existence: A new dimension in psychiatry and psychology </w:t>
      </w:r>
      <w:r w:rsidRPr="007347E7">
        <w:rPr>
          <w:color w:val="000000" w:themeColor="text1"/>
        </w:rPr>
        <w:t xml:space="preserve">(Basic Books/Hachette Book Group, 1958), 92–124; </w:t>
      </w:r>
      <w:hyperlink r:id="rId70">
        <w:r w:rsidRPr="007347E7">
          <w:rPr>
            <w:rStyle w:val="Hyperlink"/>
            <w:color w:val="000000" w:themeColor="text1"/>
            <w:u w:val="none"/>
          </w:rPr>
          <w:t>https://doi.org/10.1037/11321-003.</w:t>
        </w:r>
      </w:hyperlink>
    </w:p>
  </w:footnote>
  <w:footnote w:id="200">
    <w:p w14:paraId="1C25BBC5" w14:textId="796DFBF1" w:rsidR="007347E7" w:rsidRDefault="007347E7">
      <w:pPr>
        <w:pStyle w:val="FootnoteText"/>
      </w:pPr>
      <w:r w:rsidRPr="007347E7">
        <w:rPr>
          <w:rStyle w:val="FootnoteReference"/>
          <w:color w:val="000000" w:themeColor="text1"/>
        </w:rPr>
        <w:footnoteRef/>
      </w:r>
      <w:r w:rsidRPr="007347E7">
        <w:rPr>
          <w:color w:val="000000" w:themeColor="text1"/>
        </w:rPr>
        <w:t xml:space="preserve"> </w:t>
      </w:r>
      <w:r w:rsidRPr="007347E7">
        <w:rPr>
          <w:rFonts w:ascii="Times New Roman" w:hAnsi="Times New Roman"/>
          <w:color w:val="000000" w:themeColor="text1"/>
        </w:rPr>
        <w:t>Messas,</w:t>
      </w:r>
      <w:r w:rsidRPr="007347E7">
        <w:rPr>
          <w:rFonts w:ascii="Times New Roman" w:hAnsi="Times New Roman"/>
          <w:color w:val="000000" w:themeColor="text1"/>
          <w:spacing w:val="29"/>
        </w:rPr>
        <w:t xml:space="preserve"> </w:t>
      </w:r>
      <w:r w:rsidRPr="007347E7">
        <w:rPr>
          <w:rFonts w:ascii="Times New Roman" w:hAnsi="Times New Roman"/>
          <w:color w:val="000000" w:themeColor="text1"/>
        </w:rPr>
        <w:t>Tamelini,</w:t>
      </w:r>
      <w:r w:rsidRPr="007347E7">
        <w:rPr>
          <w:rFonts w:ascii="Times New Roman" w:hAnsi="Times New Roman"/>
          <w:color w:val="000000" w:themeColor="text1"/>
          <w:spacing w:val="34"/>
        </w:rPr>
        <w:t xml:space="preserve"> </w:t>
      </w:r>
      <w:r w:rsidRPr="007347E7">
        <w:rPr>
          <w:rFonts w:ascii="Times New Roman" w:hAnsi="Times New Roman"/>
          <w:color w:val="000000" w:themeColor="text1"/>
        </w:rPr>
        <w:t>Mancini,</w:t>
      </w:r>
      <w:r w:rsidRPr="007347E7">
        <w:rPr>
          <w:rFonts w:ascii="Times New Roman" w:hAnsi="Times New Roman"/>
          <w:color w:val="000000" w:themeColor="text1"/>
          <w:spacing w:val="34"/>
        </w:rPr>
        <w:t xml:space="preserve"> </w:t>
      </w:r>
      <w:r w:rsidRPr="007347E7">
        <w:rPr>
          <w:rFonts w:ascii="Times New Roman" w:hAnsi="Times New Roman"/>
          <w:color w:val="000000" w:themeColor="text1"/>
        </w:rPr>
        <w:t>and</w:t>
      </w:r>
      <w:r w:rsidRPr="007347E7">
        <w:rPr>
          <w:rFonts w:ascii="Times New Roman" w:hAnsi="Times New Roman"/>
          <w:color w:val="000000" w:themeColor="text1"/>
          <w:spacing w:val="34"/>
        </w:rPr>
        <w:t xml:space="preserve"> </w:t>
      </w:r>
      <w:r w:rsidRPr="007347E7">
        <w:rPr>
          <w:rFonts w:ascii="Times New Roman" w:hAnsi="Times New Roman"/>
          <w:color w:val="000000" w:themeColor="text1"/>
        </w:rPr>
        <w:t>Stanghelini,</w:t>
      </w:r>
      <w:r w:rsidRPr="007347E7">
        <w:rPr>
          <w:rFonts w:ascii="Times New Roman" w:hAnsi="Times New Roman"/>
          <w:color w:val="000000" w:themeColor="text1"/>
          <w:spacing w:val="35"/>
        </w:rPr>
        <w:t xml:space="preserve"> </w:t>
      </w:r>
      <w:r w:rsidRPr="007347E7">
        <w:rPr>
          <w:rFonts w:ascii="Times New Roman" w:hAnsi="Times New Roman"/>
          <w:color w:val="000000" w:themeColor="text1"/>
        </w:rPr>
        <w:t>“New</w:t>
      </w:r>
      <w:r w:rsidRPr="007347E7">
        <w:rPr>
          <w:rFonts w:ascii="Times New Roman" w:hAnsi="Times New Roman"/>
          <w:color w:val="000000" w:themeColor="text1"/>
          <w:spacing w:val="32"/>
        </w:rPr>
        <w:t xml:space="preserve"> </w:t>
      </w:r>
      <w:r w:rsidRPr="007347E7">
        <w:rPr>
          <w:rFonts w:ascii="Times New Roman" w:hAnsi="Times New Roman"/>
          <w:color w:val="000000" w:themeColor="text1"/>
        </w:rPr>
        <w:t>Perspectives</w:t>
      </w:r>
      <w:r w:rsidRPr="007347E7">
        <w:rPr>
          <w:rFonts w:ascii="Times New Roman" w:hAnsi="Times New Roman"/>
          <w:color w:val="000000" w:themeColor="text1"/>
          <w:spacing w:val="33"/>
        </w:rPr>
        <w:t xml:space="preserve"> </w:t>
      </w:r>
      <w:r w:rsidRPr="007347E7">
        <w:rPr>
          <w:rFonts w:ascii="Times New Roman" w:hAnsi="Times New Roman"/>
          <w:color w:val="000000" w:themeColor="text1"/>
        </w:rPr>
        <w:t>in</w:t>
      </w:r>
      <w:r w:rsidRPr="007347E7">
        <w:rPr>
          <w:rFonts w:ascii="Times New Roman" w:hAnsi="Times New Roman"/>
          <w:color w:val="000000" w:themeColor="text1"/>
          <w:spacing w:val="34"/>
        </w:rPr>
        <w:t xml:space="preserve"> </w:t>
      </w:r>
      <w:r w:rsidRPr="007347E7">
        <w:rPr>
          <w:rFonts w:ascii="Times New Roman" w:hAnsi="Times New Roman"/>
          <w:color w:val="000000" w:themeColor="text1"/>
        </w:rPr>
        <w:t>Phenomenological</w:t>
      </w:r>
      <w:r w:rsidRPr="007347E7">
        <w:rPr>
          <w:rFonts w:ascii="Times New Roman" w:hAnsi="Times New Roman"/>
          <w:color w:val="000000" w:themeColor="text1"/>
          <w:spacing w:val="35"/>
        </w:rPr>
        <w:t xml:space="preserve"> </w:t>
      </w:r>
      <w:r w:rsidRPr="007347E7">
        <w:rPr>
          <w:rFonts w:ascii="Times New Roman" w:hAnsi="Times New Roman"/>
          <w:color w:val="000000" w:themeColor="text1"/>
          <w:spacing w:val="-2"/>
        </w:rPr>
        <w:t>Psychopathology.”</w:t>
      </w:r>
    </w:p>
  </w:footnote>
  <w:footnote w:id="201">
    <w:p w14:paraId="4ED7F6D9" w14:textId="5DC2A34E" w:rsidR="007347E7" w:rsidRPr="007347E7" w:rsidRDefault="007347E7">
      <w:pPr>
        <w:pStyle w:val="FootnoteText"/>
        <w:rPr>
          <w:color w:val="000000" w:themeColor="text1"/>
        </w:rPr>
      </w:pPr>
      <w:r>
        <w:rPr>
          <w:rStyle w:val="FootnoteReference"/>
        </w:rPr>
        <w:footnoteRef/>
      </w:r>
      <w:r>
        <w:t xml:space="preserve"> </w:t>
      </w:r>
      <w:r w:rsidRPr="007347E7">
        <w:rPr>
          <w:color w:val="000000" w:themeColor="text1"/>
        </w:rPr>
        <w:t>Joseph M. Pierre interviewed by Awais Aftab, “There and Back Again.”</w:t>
      </w:r>
    </w:p>
  </w:footnote>
  <w:footnote w:id="202">
    <w:p w14:paraId="5E2B2C85" w14:textId="24D0FFA1" w:rsidR="007347E7" w:rsidRPr="007347E7" w:rsidRDefault="007347E7">
      <w:pPr>
        <w:pStyle w:val="FootnoteText"/>
        <w:rPr>
          <w:color w:val="000000" w:themeColor="text1"/>
        </w:rPr>
      </w:pPr>
      <w:r w:rsidRPr="007347E7">
        <w:rPr>
          <w:rStyle w:val="FootnoteReference"/>
          <w:color w:val="000000" w:themeColor="text1"/>
        </w:rPr>
        <w:footnoteRef/>
      </w:r>
      <w:r w:rsidRPr="007347E7">
        <w:rPr>
          <w:color w:val="000000" w:themeColor="text1"/>
        </w:rPr>
        <w:t xml:space="preserve"> </w:t>
      </w:r>
      <w:r w:rsidRPr="007347E7">
        <w:rPr>
          <w:color w:val="000000" w:themeColor="text1"/>
        </w:rPr>
        <w:t>Sami Tamimi interviewed by Awais Aftab, “Psychiatry and the Shores of Social Construction.”</w:t>
      </w:r>
    </w:p>
  </w:footnote>
  <w:footnote w:id="203">
    <w:p w14:paraId="21EB858E" w14:textId="77777777" w:rsidR="007347E7" w:rsidRPr="007347E7" w:rsidRDefault="007347E7" w:rsidP="007347E7">
      <w:pPr>
        <w:pStyle w:val="FootnoteText"/>
        <w:rPr>
          <w:color w:val="000000" w:themeColor="text1"/>
        </w:rPr>
      </w:pPr>
      <w:r w:rsidRPr="007347E7">
        <w:rPr>
          <w:rStyle w:val="FootnoteReference"/>
          <w:color w:val="000000" w:themeColor="text1"/>
        </w:rPr>
        <w:footnoteRef/>
      </w:r>
      <w:r w:rsidRPr="007347E7">
        <w:rPr>
          <w:color w:val="000000" w:themeColor="text1"/>
        </w:rPr>
        <w:t xml:space="preserve"> </w:t>
      </w:r>
      <w:r w:rsidRPr="007347E7">
        <w:rPr>
          <w:color w:val="000000" w:themeColor="text1"/>
        </w:rPr>
        <w:t xml:space="preserve">“Mental Health Medications,” </w:t>
      </w:r>
      <w:r w:rsidRPr="007347E7">
        <w:rPr>
          <w:i/>
          <w:color w:val="000000" w:themeColor="text1"/>
        </w:rPr>
        <w:t xml:space="preserve">National Institute of Mental Health </w:t>
      </w:r>
      <w:r w:rsidRPr="007347E7">
        <w:rPr>
          <w:color w:val="000000" w:themeColor="text1"/>
        </w:rPr>
        <w:t xml:space="preserve">(October 2016): </w:t>
      </w:r>
      <w:hyperlink r:id="rId71">
        <w:r w:rsidRPr="007347E7">
          <w:rPr>
            <w:rStyle w:val="Hyperlink"/>
            <w:color w:val="000000" w:themeColor="text1"/>
            <w:u w:val="none"/>
          </w:rPr>
          <w:t>http://www.nimh.nih.gov/health/</w:t>
        </w:r>
      </w:hyperlink>
      <w:r w:rsidRPr="007347E7">
        <w:rPr>
          <w:color w:val="000000" w:themeColor="text1"/>
        </w:rPr>
        <w:t xml:space="preserve"> publications/mental-health-medications/index.shtml. Accessed, March 4, 2021.</w:t>
      </w:r>
    </w:p>
    <w:p w14:paraId="2C841CE5" w14:textId="636F537A" w:rsidR="007347E7" w:rsidRDefault="007347E7">
      <w:pPr>
        <w:pStyle w:val="FootnoteText"/>
      </w:pPr>
    </w:p>
  </w:footnote>
  <w:footnote w:id="204">
    <w:p w14:paraId="209A820B" w14:textId="1A69C3B1" w:rsidR="00621D39" w:rsidRPr="00621D39" w:rsidRDefault="00621D39">
      <w:pPr>
        <w:pStyle w:val="FootnoteText"/>
        <w:rPr>
          <w:color w:val="000000" w:themeColor="text1"/>
        </w:rPr>
      </w:pPr>
      <w:r w:rsidRPr="00621D39">
        <w:rPr>
          <w:rStyle w:val="FootnoteReference"/>
          <w:color w:val="000000" w:themeColor="text1"/>
        </w:rPr>
        <w:footnoteRef/>
      </w:r>
      <w:r w:rsidRPr="00621D39">
        <w:rPr>
          <w:color w:val="000000" w:themeColor="text1"/>
        </w:rPr>
        <w:t xml:space="preserve"> </w:t>
      </w:r>
      <w:r w:rsidRPr="00621D39">
        <w:rPr>
          <w:color w:val="000000" w:themeColor="text1"/>
        </w:rPr>
        <w:t xml:space="preserve">Littlewood and Lipsedge, </w:t>
      </w:r>
      <w:r w:rsidRPr="00621D39">
        <w:rPr>
          <w:i/>
          <w:color w:val="000000" w:themeColor="text1"/>
        </w:rPr>
        <w:t>Aliens and Alienists</w:t>
      </w:r>
      <w:r w:rsidRPr="00621D39">
        <w:rPr>
          <w:color w:val="000000" w:themeColor="text1"/>
        </w:rPr>
        <w:t>, 36-37.</w:t>
      </w:r>
    </w:p>
  </w:footnote>
  <w:footnote w:id="205">
    <w:p w14:paraId="032C0476" w14:textId="77EBF4F8" w:rsidR="00621D39" w:rsidRPr="00621D39" w:rsidRDefault="00621D39">
      <w:pPr>
        <w:pStyle w:val="FootnoteText"/>
        <w:rPr>
          <w:color w:val="000000" w:themeColor="text1"/>
        </w:rPr>
      </w:pPr>
      <w:r w:rsidRPr="00621D39">
        <w:rPr>
          <w:rStyle w:val="FootnoteReference"/>
          <w:color w:val="000000" w:themeColor="text1"/>
        </w:rPr>
        <w:footnoteRef/>
      </w:r>
      <w:r w:rsidRPr="00621D39">
        <w:rPr>
          <w:color w:val="000000" w:themeColor="text1"/>
        </w:rPr>
        <w:t xml:space="preserve"> </w:t>
      </w:r>
      <w:r w:rsidRPr="00621D39">
        <w:rPr>
          <w:color w:val="000000" w:themeColor="text1"/>
        </w:rPr>
        <w:t xml:space="preserve">Jaak Panksepp, ed., </w:t>
      </w:r>
      <w:r w:rsidRPr="00621D39">
        <w:rPr>
          <w:i/>
          <w:color w:val="000000" w:themeColor="text1"/>
        </w:rPr>
        <w:t xml:space="preserve">Textbook of Biological Psychiatry </w:t>
      </w:r>
      <w:r w:rsidRPr="00621D39">
        <w:rPr>
          <w:color w:val="000000" w:themeColor="text1"/>
        </w:rPr>
        <w:t>(New York: John Wiley and Sons, 2004), 17.</w:t>
      </w:r>
    </w:p>
  </w:footnote>
  <w:footnote w:id="206">
    <w:p w14:paraId="147670B3" w14:textId="4987074B" w:rsidR="00621D39" w:rsidRPr="00621D39" w:rsidRDefault="00621D39">
      <w:pPr>
        <w:pStyle w:val="FootnoteText"/>
        <w:rPr>
          <w:color w:val="000000" w:themeColor="text1"/>
        </w:rPr>
      </w:pPr>
      <w:r w:rsidRPr="00621D39">
        <w:rPr>
          <w:rStyle w:val="FootnoteReference"/>
          <w:color w:val="000000" w:themeColor="text1"/>
        </w:rPr>
        <w:footnoteRef/>
      </w:r>
      <w:r w:rsidRPr="00621D39">
        <w:rPr>
          <w:color w:val="000000" w:themeColor="text1"/>
        </w:rPr>
        <w:t xml:space="preserve"> </w:t>
      </w:r>
      <w:r w:rsidRPr="00621D39">
        <w:rPr>
          <w:color w:val="000000" w:themeColor="text1"/>
        </w:rPr>
        <w:t xml:space="preserve">Nassir Ghaemi, “How Academia Left Me: A Psychiatric Researcher’s Mid-Career Shift to the Pharmaceutical Industry,” </w:t>
      </w:r>
      <w:r w:rsidRPr="00621D39">
        <w:rPr>
          <w:i/>
          <w:color w:val="000000" w:themeColor="text1"/>
        </w:rPr>
        <w:t xml:space="preserve">Medscape Psychiatry </w:t>
      </w:r>
      <w:r w:rsidRPr="00621D39">
        <w:rPr>
          <w:color w:val="000000" w:themeColor="text1"/>
        </w:rPr>
        <w:t xml:space="preserve">(June 13, 2018): </w:t>
      </w:r>
      <w:hyperlink r:id="rId72">
        <w:r w:rsidRPr="00621D39">
          <w:rPr>
            <w:rStyle w:val="Hyperlink"/>
            <w:color w:val="000000" w:themeColor="text1"/>
            <w:u w:val="none"/>
          </w:rPr>
          <w:t>https://www.medscape.com/viewarticle/897877</w:t>
        </w:r>
      </w:hyperlink>
      <w:r w:rsidRPr="00621D39">
        <w:rPr>
          <w:color w:val="000000" w:themeColor="text1"/>
        </w:rPr>
        <w:t xml:space="preserve"> #vp_2. Accessed March 2, 2021.</w:t>
      </w:r>
    </w:p>
  </w:footnote>
  <w:footnote w:id="207">
    <w:p w14:paraId="6FD7F1B0" w14:textId="0081FD2B" w:rsidR="00621D39" w:rsidRPr="00ED3AB5" w:rsidRDefault="00621D39">
      <w:pPr>
        <w:pStyle w:val="FootnoteText"/>
        <w:rPr>
          <w:color w:val="000000" w:themeColor="text1"/>
        </w:rPr>
      </w:pPr>
      <w:r w:rsidRPr="00621D39">
        <w:rPr>
          <w:rStyle w:val="FootnoteReference"/>
          <w:color w:val="000000" w:themeColor="text1"/>
        </w:rPr>
        <w:footnoteRef/>
      </w:r>
      <w:r w:rsidRPr="00621D39">
        <w:rPr>
          <w:color w:val="000000" w:themeColor="text1"/>
        </w:rPr>
        <w:t xml:space="preserve"> </w:t>
      </w:r>
      <w:r w:rsidRPr="00621D39">
        <w:rPr>
          <w:color w:val="000000" w:themeColor="text1"/>
        </w:rPr>
        <w:t xml:space="preserve">Edward Shorter, “The History of Nosology and the Rise of the Diagnostic and Statistical Manual of Mental Disorders,” </w:t>
      </w:r>
      <w:r w:rsidRPr="00621D39">
        <w:rPr>
          <w:i/>
          <w:color w:val="000000" w:themeColor="text1"/>
        </w:rPr>
        <w:t xml:space="preserve">Dialogues in Clinical Neuroscience </w:t>
      </w:r>
      <w:r w:rsidRPr="00621D39">
        <w:rPr>
          <w:color w:val="000000" w:themeColor="text1"/>
        </w:rPr>
        <w:t>vol. 17 (1) (March, 2015): 59. Accessed March 2, 2021.</w:t>
      </w:r>
    </w:p>
  </w:footnote>
  <w:footnote w:id="208">
    <w:p w14:paraId="4E6E94C5" w14:textId="51FCB0AC" w:rsidR="00ED3AB5" w:rsidRDefault="00ED3AB5">
      <w:pPr>
        <w:pStyle w:val="FootnoteText"/>
      </w:pPr>
      <w:r>
        <w:rPr>
          <w:rStyle w:val="FootnoteReference"/>
        </w:rPr>
        <w:footnoteRef/>
      </w:r>
      <w:r>
        <w:t xml:space="preserve"> </w:t>
      </w:r>
      <w:r>
        <w:rPr>
          <w:rFonts w:ascii="Times New Roman"/>
          <w:color w:val="231F20"/>
        </w:rPr>
        <w:t xml:space="preserve">Michael Arribas-Ayloon, Andrew Bartlett, and Jamie Lewis, </w:t>
      </w:r>
      <w:r>
        <w:rPr>
          <w:rFonts w:ascii="Times New Roman"/>
          <w:i/>
          <w:color w:val="231F20"/>
        </w:rPr>
        <w:t xml:space="preserve">Psychiatric Genetics: From Hereditary Madness to Big Biology </w:t>
      </w:r>
      <w:r>
        <w:rPr>
          <w:rFonts w:ascii="Times New Roman"/>
          <w:color w:val="231F20"/>
        </w:rPr>
        <w:t>(Vanderbilt, New York: Routledge, 2019), 11.</w:t>
      </w:r>
    </w:p>
  </w:footnote>
  <w:footnote w:id="209">
    <w:p w14:paraId="6C87DCAF" w14:textId="77777777" w:rsidR="00ED3AB5" w:rsidRPr="00ED3AB5" w:rsidRDefault="00ED3AB5" w:rsidP="00ED3AB5">
      <w:pPr>
        <w:pStyle w:val="FootnoteText"/>
      </w:pPr>
      <w:r>
        <w:rPr>
          <w:rStyle w:val="FootnoteReference"/>
        </w:rPr>
        <w:footnoteRef/>
      </w:r>
      <w:r>
        <w:t xml:space="preserve"> </w:t>
      </w:r>
      <w:r w:rsidRPr="00ED3AB5">
        <w:t xml:space="preserve">Ulrich Palm and Hans-Jurgen Möller, “Reception of Kraepelin’s Ideas 1900-1960,” </w:t>
      </w:r>
      <w:r w:rsidRPr="00ED3AB5">
        <w:rPr>
          <w:i/>
        </w:rPr>
        <w:t xml:space="preserve">Psychiatry and Clinical Neuroscience </w:t>
      </w:r>
      <w:r w:rsidRPr="00ED3AB5">
        <w:t>vol. 65 (4) (June, 2011): 318-325. DOI: 10.1111/j.1440-1819.2011.02226.x. PMID: 21682810.</w:t>
      </w:r>
    </w:p>
    <w:p w14:paraId="47E5ED08" w14:textId="1F73AA84" w:rsidR="00ED3AB5" w:rsidRDefault="00ED3AB5">
      <w:pPr>
        <w:pStyle w:val="FootnoteText"/>
      </w:pPr>
      <w:r w:rsidRPr="00ED3AB5">
        <w:t>Accessed March 5, 2021</w:t>
      </w:r>
    </w:p>
  </w:footnote>
  <w:footnote w:id="210">
    <w:p w14:paraId="29D1D252" w14:textId="77777777" w:rsidR="00ED3AB5" w:rsidRPr="00ED3AB5" w:rsidRDefault="00ED3AB5" w:rsidP="00ED3AB5">
      <w:pPr>
        <w:pStyle w:val="FootnoteText"/>
      </w:pPr>
      <w:r>
        <w:rPr>
          <w:rStyle w:val="FootnoteReference"/>
        </w:rPr>
        <w:footnoteRef/>
      </w:r>
      <w:r>
        <w:t xml:space="preserve"> </w:t>
      </w:r>
      <w:r w:rsidRPr="00ED3AB5">
        <w:t xml:space="preserve">Anne Harrington, </w:t>
      </w:r>
      <w:r w:rsidRPr="00ED3AB5">
        <w:rPr>
          <w:i/>
        </w:rPr>
        <w:t xml:space="preserve">Mind Fixers: Psychiatry’s Troubled Search for the Biology of Mental Illness </w:t>
      </w:r>
      <w:r w:rsidRPr="00ED3AB5">
        <w:t>(NY: W.W. Norton and Company, 2019), 17.</w:t>
      </w:r>
    </w:p>
    <w:p w14:paraId="55B12998" w14:textId="717E5426" w:rsidR="00ED3AB5" w:rsidRDefault="00ED3AB5">
      <w:pPr>
        <w:pStyle w:val="FootnoteText"/>
      </w:pPr>
    </w:p>
  </w:footnote>
  <w:footnote w:id="211">
    <w:p w14:paraId="242C561A" w14:textId="36187D16" w:rsidR="00ED3AB5" w:rsidRDefault="00ED3AB5">
      <w:pPr>
        <w:pStyle w:val="FootnoteText"/>
      </w:pPr>
      <w:r>
        <w:rPr>
          <w:rStyle w:val="FootnoteReference"/>
        </w:rPr>
        <w:footnoteRef/>
      </w:r>
      <w:r>
        <w:t xml:space="preserve"> </w:t>
      </w:r>
      <w:r w:rsidRPr="00ED3AB5">
        <w:t>Drozdzowicz, “Increasing the Role of Phenomenology in Psychiatric Diagnosis.”</w:t>
      </w:r>
    </w:p>
  </w:footnote>
  <w:footnote w:id="212">
    <w:p w14:paraId="406C3414" w14:textId="3A47FAAA" w:rsidR="00ED3AB5" w:rsidRDefault="00ED3AB5">
      <w:pPr>
        <w:pStyle w:val="FootnoteText"/>
      </w:pPr>
      <w:r>
        <w:rPr>
          <w:rStyle w:val="FootnoteReference"/>
        </w:rPr>
        <w:footnoteRef/>
      </w:r>
      <w:r>
        <w:t xml:space="preserve"> </w:t>
      </w:r>
      <w:r w:rsidRPr="00ED3AB5">
        <w:t>Bernard A. Fischer, “A Review of American Psychiatry Through Its Diagnoses: The History and Development of</w:t>
      </w:r>
      <w:r>
        <w:t xml:space="preserve"> </w:t>
      </w:r>
      <w:r w:rsidRPr="00ED3AB5">
        <w:t xml:space="preserve">the </w:t>
      </w:r>
      <w:r w:rsidRPr="00ED3AB5">
        <w:rPr>
          <w:i/>
        </w:rPr>
        <w:t xml:space="preserve">Diagnostic and Statistical Manual of Mental Disorders,” The Journal of Nervous and Mental Disease </w:t>
      </w:r>
      <w:r w:rsidRPr="00ED3AB5">
        <w:t>vol. 200 (12) (December 2012): 1022-33. DOI: 10.1097/NMD.0b013e318275cf19. Accessed March 14, 2021.</w:t>
      </w:r>
    </w:p>
  </w:footnote>
  <w:footnote w:id="213">
    <w:p w14:paraId="36CF3ADC" w14:textId="0F96A3D6" w:rsidR="00ED3AB5" w:rsidRDefault="00ED3AB5">
      <w:pPr>
        <w:pStyle w:val="FootnoteText"/>
      </w:pPr>
      <w:r>
        <w:rPr>
          <w:rStyle w:val="FootnoteReference"/>
        </w:rPr>
        <w:footnoteRef/>
      </w:r>
      <w:r>
        <w:t xml:space="preserve"> </w:t>
      </w:r>
      <w:r w:rsidRPr="00ED3AB5">
        <w:t xml:space="preserve">Marcia Angell, “The Illusions of Psychiatry” part 2, </w:t>
      </w:r>
      <w:r w:rsidRPr="00ED3AB5">
        <w:rPr>
          <w:i/>
        </w:rPr>
        <w:t xml:space="preserve">The New York Review of Books </w:t>
      </w:r>
      <w:r w:rsidRPr="00ED3AB5">
        <w:t xml:space="preserve">(July 14, 2011): </w:t>
      </w:r>
      <w:hyperlink r:id="rId73">
        <w:r w:rsidRPr="00ED3AB5">
          <w:rPr>
            <w:rStyle w:val="Hyperlink"/>
            <w:color w:val="000000" w:themeColor="text1"/>
            <w:u w:val="none"/>
          </w:rPr>
          <w:t>https://www.</w:t>
        </w:r>
      </w:hyperlink>
      <w:r w:rsidRPr="00ED3AB5">
        <w:rPr>
          <w:color w:val="000000" w:themeColor="text1"/>
        </w:rPr>
        <w:t xml:space="preserve"> nybooks.com/articles/2011/07/14/illusions-of-psychiatry/. Accessed March 21, 2021.</w:t>
      </w:r>
    </w:p>
  </w:footnote>
  <w:footnote w:id="214">
    <w:p w14:paraId="4D8163CD" w14:textId="77777777" w:rsidR="00813F96" w:rsidRDefault="00813F96" w:rsidP="00813F96">
      <w:pPr>
        <w:spacing w:before="62"/>
        <w:rPr>
          <w:rFonts w:ascii="Times New Roman" w:hAnsi="Times New Roman"/>
          <w:sz w:val="20"/>
        </w:rPr>
      </w:pPr>
      <w:r>
        <w:rPr>
          <w:rStyle w:val="FootnoteReference"/>
        </w:rPr>
        <w:footnoteRef/>
      </w:r>
      <w:r>
        <w:t xml:space="preserve"> </w:t>
      </w:r>
      <w:r>
        <w:rPr>
          <w:rFonts w:ascii="Times New Roman" w:hAnsi="Times New Roman"/>
          <w:color w:val="231F20"/>
          <w:sz w:val="20"/>
        </w:rPr>
        <w:t>Ghaemi,</w:t>
      </w:r>
      <w:r>
        <w:rPr>
          <w:rFonts w:ascii="Times New Roman" w:hAnsi="Times New Roman"/>
          <w:color w:val="231F20"/>
          <w:spacing w:val="30"/>
          <w:sz w:val="20"/>
        </w:rPr>
        <w:t xml:space="preserve"> </w:t>
      </w:r>
      <w:r>
        <w:rPr>
          <w:rFonts w:ascii="Times New Roman" w:hAnsi="Times New Roman"/>
          <w:color w:val="231F20"/>
          <w:sz w:val="20"/>
        </w:rPr>
        <w:t>“How</w:t>
      </w:r>
      <w:r>
        <w:rPr>
          <w:rFonts w:ascii="Times New Roman" w:hAnsi="Times New Roman"/>
          <w:color w:val="231F20"/>
          <w:spacing w:val="13"/>
          <w:sz w:val="20"/>
        </w:rPr>
        <w:t xml:space="preserve"> </w:t>
      </w:r>
      <w:r>
        <w:rPr>
          <w:rFonts w:ascii="Times New Roman" w:hAnsi="Times New Roman"/>
          <w:color w:val="231F20"/>
          <w:sz w:val="20"/>
        </w:rPr>
        <w:t>Academia</w:t>
      </w:r>
      <w:r>
        <w:rPr>
          <w:rFonts w:ascii="Times New Roman" w:hAnsi="Times New Roman"/>
          <w:color w:val="231F20"/>
          <w:spacing w:val="29"/>
          <w:sz w:val="20"/>
        </w:rPr>
        <w:t xml:space="preserve"> </w:t>
      </w:r>
      <w:r>
        <w:rPr>
          <w:rFonts w:ascii="Times New Roman" w:hAnsi="Times New Roman"/>
          <w:color w:val="231F20"/>
          <w:sz w:val="20"/>
        </w:rPr>
        <w:t>Left</w:t>
      </w:r>
      <w:r>
        <w:rPr>
          <w:rFonts w:ascii="Times New Roman" w:hAnsi="Times New Roman"/>
          <w:color w:val="231F20"/>
          <w:spacing w:val="30"/>
          <w:sz w:val="20"/>
        </w:rPr>
        <w:t xml:space="preserve"> </w:t>
      </w:r>
      <w:r>
        <w:rPr>
          <w:rFonts w:ascii="Times New Roman" w:hAnsi="Times New Roman"/>
          <w:color w:val="231F20"/>
          <w:spacing w:val="-4"/>
          <w:sz w:val="20"/>
        </w:rPr>
        <w:t>Me.”</w:t>
      </w:r>
    </w:p>
    <w:p w14:paraId="21D7BB2A" w14:textId="6032954D" w:rsidR="00813F96" w:rsidRDefault="00813F96">
      <w:pPr>
        <w:pStyle w:val="FootnoteText"/>
      </w:pPr>
    </w:p>
  </w:footnote>
  <w:footnote w:id="215">
    <w:p w14:paraId="54DA5643" w14:textId="130BEF6F" w:rsidR="00813F96" w:rsidRPr="0058714B" w:rsidRDefault="00813F96">
      <w:pPr>
        <w:pStyle w:val="FootnoteText"/>
        <w:rPr>
          <w:color w:val="000000" w:themeColor="text1"/>
        </w:rPr>
      </w:pPr>
      <w:r w:rsidRPr="00813F96">
        <w:rPr>
          <w:rStyle w:val="FootnoteReference"/>
          <w:color w:val="000000" w:themeColor="text1"/>
        </w:rPr>
        <w:footnoteRef/>
      </w:r>
      <w:r w:rsidRPr="00813F96">
        <w:rPr>
          <w:color w:val="000000" w:themeColor="text1"/>
        </w:rPr>
        <w:t xml:space="preserve"> </w:t>
      </w:r>
      <w:r w:rsidRPr="00813F96">
        <w:rPr>
          <w:color w:val="000000" w:themeColor="text1"/>
        </w:rPr>
        <w:t xml:space="preserve">Thomas Insel, “Post by Former NIMH Director Thomas Insel: Transforming Diagnosis.” </w:t>
      </w:r>
      <w:r w:rsidRPr="00813F96">
        <w:rPr>
          <w:i/>
          <w:color w:val="000000" w:themeColor="text1"/>
        </w:rPr>
        <w:t xml:space="preserve">National Institute of Mental Health, </w:t>
      </w:r>
      <w:r w:rsidRPr="00813F96">
        <w:rPr>
          <w:color w:val="000000" w:themeColor="text1"/>
        </w:rPr>
        <w:t xml:space="preserve">U.S. Department of Health and Human Services (April, 29, 2013): </w:t>
      </w:r>
      <w:hyperlink r:id="rId74">
        <w:r w:rsidRPr="00813F96">
          <w:rPr>
            <w:rStyle w:val="Hyperlink"/>
            <w:color w:val="000000" w:themeColor="text1"/>
            <w:u w:val="none"/>
          </w:rPr>
          <w:t>www.nimh.nih.gov/about/director/2013/</w:t>
        </w:r>
      </w:hyperlink>
      <w:r w:rsidRPr="00813F96">
        <w:rPr>
          <w:color w:val="000000" w:themeColor="text1"/>
        </w:rPr>
        <w:t xml:space="preserve"> transforming-diagnosis.shtml. Accessed February 19, 2021.</w:t>
      </w:r>
    </w:p>
  </w:footnote>
  <w:footnote w:id="216">
    <w:p w14:paraId="361379E0" w14:textId="0BD60F11" w:rsidR="0058714B" w:rsidRDefault="0058714B">
      <w:pPr>
        <w:pStyle w:val="FootnoteText"/>
      </w:pPr>
      <w:r>
        <w:rPr>
          <w:rStyle w:val="FootnoteReference"/>
        </w:rPr>
        <w:footnoteRef/>
      </w:r>
      <w:r>
        <w:t xml:space="preserve"> </w:t>
      </w:r>
      <w:r>
        <w:rPr>
          <w:rFonts w:ascii="Times New Roman" w:hAnsi="Times New Roman"/>
          <w:color w:val="231F20"/>
        </w:rPr>
        <w:t>Fava,</w:t>
      </w:r>
      <w:r>
        <w:rPr>
          <w:rFonts w:ascii="Times New Roman" w:hAnsi="Times New Roman"/>
          <w:color w:val="231F20"/>
          <w:spacing w:val="38"/>
        </w:rPr>
        <w:t xml:space="preserve"> </w:t>
      </w:r>
      <w:r>
        <w:rPr>
          <w:rFonts w:ascii="Times New Roman" w:hAnsi="Times New Roman"/>
          <w:color w:val="231F20"/>
        </w:rPr>
        <w:t>“Psychiatry’s</w:t>
      </w:r>
      <w:r>
        <w:rPr>
          <w:rFonts w:ascii="Times New Roman" w:hAnsi="Times New Roman"/>
          <w:color w:val="231F20"/>
          <w:spacing w:val="36"/>
        </w:rPr>
        <w:t xml:space="preserve"> </w:t>
      </w:r>
      <w:r>
        <w:rPr>
          <w:rFonts w:ascii="Times New Roman" w:hAnsi="Times New Roman"/>
          <w:color w:val="231F20"/>
        </w:rPr>
        <w:t>Intellectual</w:t>
      </w:r>
      <w:r>
        <w:rPr>
          <w:rFonts w:ascii="Times New Roman" w:hAnsi="Times New Roman"/>
          <w:color w:val="231F20"/>
          <w:spacing w:val="39"/>
        </w:rPr>
        <w:t xml:space="preserve"> </w:t>
      </w:r>
      <w:r>
        <w:rPr>
          <w:rFonts w:ascii="Times New Roman" w:hAnsi="Times New Roman"/>
          <w:color w:val="231F20"/>
          <w:spacing w:val="-2"/>
        </w:rPr>
        <w:t>Crisis.”</w:t>
      </w:r>
    </w:p>
  </w:footnote>
  <w:footnote w:id="217">
    <w:p w14:paraId="4C25A564" w14:textId="5727B096" w:rsidR="0058714B" w:rsidRDefault="0058714B">
      <w:pPr>
        <w:pStyle w:val="FootnoteText"/>
      </w:pPr>
      <w:r>
        <w:rPr>
          <w:rStyle w:val="FootnoteReference"/>
        </w:rPr>
        <w:footnoteRef/>
      </w:r>
      <w:r>
        <w:t xml:space="preserve"> </w:t>
      </w:r>
      <w:r w:rsidRPr="0058714B">
        <w:t xml:space="preserve">Sims, </w:t>
      </w:r>
      <w:r w:rsidRPr="0058714B">
        <w:rPr>
          <w:i/>
        </w:rPr>
        <w:t>Is Faith Delusion</w:t>
      </w:r>
      <w:r w:rsidRPr="0058714B">
        <w:t>, 146.</w:t>
      </w:r>
    </w:p>
  </w:footnote>
  <w:footnote w:id="218">
    <w:p w14:paraId="6A5A0B97" w14:textId="77777777" w:rsidR="0058714B" w:rsidRPr="0058714B" w:rsidRDefault="0058714B" w:rsidP="0058714B">
      <w:pPr>
        <w:pStyle w:val="FootnoteText"/>
      </w:pPr>
      <w:r>
        <w:rPr>
          <w:rStyle w:val="FootnoteReference"/>
        </w:rPr>
        <w:footnoteRef/>
      </w:r>
      <w:r>
        <w:t xml:space="preserve"> </w:t>
      </w:r>
      <w:r w:rsidRPr="0058714B">
        <w:t xml:space="preserve">van der Kolk, </w:t>
      </w:r>
      <w:r w:rsidRPr="0058714B">
        <w:rPr>
          <w:i/>
        </w:rPr>
        <w:t>The Body Keeps the Score</w:t>
      </w:r>
      <w:r w:rsidRPr="0058714B">
        <w:t>, 137.</w:t>
      </w:r>
    </w:p>
    <w:p w14:paraId="497E2928" w14:textId="1B7B9E0A" w:rsidR="0058714B" w:rsidRDefault="0058714B">
      <w:pPr>
        <w:pStyle w:val="FootnoteText"/>
      </w:pPr>
    </w:p>
  </w:footnote>
  <w:footnote w:id="219">
    <w:p w14:paraId="66AD6E9E" w14:textId="05725FF8" w:rsidR="0058714B" w:rsidRPr="001D1591" w:rsidRDefault="0058714B" w:rsidP="001D1591">
      <w:pPr>
        <w:spacing w:before="70"/>
        <w:rPr>
          <w:rFonts w:ascii="Times New Roman" w:hAnsi="Times New Roman"/>
          <w:sz w:val="20"/>
        </w:rPr>
      </w:pPr>
      <w:r>
        <w:rPr>
          <w:rStyle w:val="FootnoteReference"/>
        </w:rPr>
        <w:footnoteRef/>
      </w:r>
      <w:r>
        <w:t xml:space="preserve"> </w:t>
      </w:r>
      <w:r>
        <w:rPr>
          <w:rFonts w:ascii="Times New Roman" w:hAnsi="Times New Roman"/>
          <w:color w:val="231F20"/>
          <w:sz w:val="20"/>
        </w:rPr>
        <w:t>Aftab,</w:t>
      </w:r>
      <w:r>
        <w:rPr>
          <w:rFonts w:ascii="Times New Roman" w:hAnsi="Times New Roman"/>
          <w:color w:val="231F20"/>
          <w:spacing w:val="27"/>
          <w:sz w:val="20"/>
        </w:rPr>
        <w:t xml:space="preserve"> </w:t>
      </w:r>
      <w:r>
        <w:rPr>
          <w:rFonts w:ascii="Times New Roman" w:hAnsi="Times New Roman"/>
          <w:color w:val="231F20"/>
          <w:sz w:val="20"/>
        </w:rPr>
        <w:t>“There</w:t>
      </w:r>
      <w:r>
        <w:rPr>
          <w:rFonts w:ascii="Times New Roman" w:hAnsi="Times New Roman"/>
          <w:color w:val="231F20"/>
          <w:spacing w:val="26"/>
          <w:sz w:val="20"/>
        </w:rPr>
        <w:t xml:space="preserve"> </w:t>
      </w:r>
      <w:r>
        <w:rPr>
          <w:rFonts w:ascii="Times New Roman" w:hAnsi="Times New Roman"/>
          <w:color w:val="231F20"/>
          <w:sz w:val="20"/>
        </w:rPr>
        <w:t>and</w:t>
      </w:r>
      <w:r>
        <w:rPr>
          <w:rFonts w:ascii="Times New Roman" w:hAnsi="Times New Roman"/>
          <w:color w:val="231F20"/>
          <w:spacing w:val="27"/>
          <w:sz w:val="20"/>
        </w:rPr>
        <w:t xml:space="preserve"> </w:t>
      </w:r>
      <w:r>
        <w:rPr>
          <w:rFonts w:ascii="Times New Roman" w:hAnsi="Times New Roman"/>
          <w:color w:val="231F20"/>
          <w:sz w:val="20"/>
        </w:rPr>
        <w:t>Back</w:t>
      </w:r>
      <w:r>
        <w:rPr>
          <w:rFonts w:ascii="Times New Roman" w:hAnsi="Times New Roman"/>
          <w:color w:val="231F20"/>
          <w:spacing w:val="11"/>
          <w:sz w:val="20"/>
        </w:rPr>
        <w:t xml:space="preserve"> </w:t>
      </w:r>
      <w:r>
        <w:rPr>
          <w:rFonts w:ascii="Times New Roman" w:hAnsi="Times New Roman"/>
          <w:color w:val="231F20"/>
          <w:spacing w:val="-2"/>
          <w:sz w:val="20"/>
        </w:rPr>
        <w:t>Again.”</w:t>
      </w:r>
    </w:p>
  </w:footnote>
  <w:footnote w:id="220">
    <w:p w14:paraId="4EB45FE3" w14:textId="58D764E2" w:rsidR="001D1591" w:rsidRPr="001D1591" w:rsidRDefault="001D1591">
      <w:pPr>
        <w:pStyle w:val="FootnoteText"/>
        <w:rPr>
          <w:color w:val="000000" w:themeColor="text1"/>
        </w:rPr>
      </w:pPr>
      <w:r>
        <w:rPr>
          <w:rStyle w:val="FootnoteReference"/>
        </w:rPr>
        <w:footnoteRef/>
      </w:r>
      <w:r>
        <w:t xml:space="preserve"> </w:t>
      </w:r>
      <w:r w:rsidRPr="001D1591">
        <w:t>“I told my story of experiencing a spiritual emergency that the psychiatric ‘experts’ labeled “schizophrenia.” I described how I was forcibly drugged and locked in a seclusion room because of that spiritual energyMy</w:t>
      </w:r>
      <w:r>
        <w:t xml:space="preserve"> </w:t>
      </w:r>
      <w:r w:rsidRPr="001D1591">
        <w:t xml:space="preserve">mind/spirit was searching for my genuine self which resulted in a sudden eruption and release of profound </w:t>
      </w:r>
      <w:r w:rsidRPr="001D1591">
        <w:rPr>
          <w:color w:val="000000" w:themeColor="text1"/>
        </w:rPr>
        <w:t xml:space="preserve">individual and collective trauma, which I am still coming to understand over 45 years later” (Lauren Spiro, “Mental Health Liberation and Spirituality: Ex-Psychiatric Inmates Share their Thoughts,” </w:t>
      </w:r>
      <w:r w:rsidRPr="001D1591">
        <w:rPr>
          <w:i/>
          <w:color w:val="000000" w:themeColor="text1"/>
        </w:rPr>
        <w:t xml:space="preserve">Mad in America </w:t>
      </w:r>
      <w:r w:rsidRPr="001D1591">
        <w:rPr>
          <w:color w:val="000000" w:themeColor="text1"/>
        </w:rPr>
        <w:t xml:space="preserve">[May 30, 2021]: </w:t>
      </w:r>
      <w:hyperlink r:id="rId75">
        <w:r w:rsidRPr="001D1591">
          <w:rPr>
            <w:rStyle w:val="Hyperlink"/>
            <w:color w:val="000000" w:themeColor="text1"/>
            <w:u w:val="none"/>
          </w:rPr>
          <w:t>https://www.madinamerica.com/2021/05/mental-health-liberation-spirituality/?fbclid=IwAR2DEh5rnDhs6c</w:t>
        </w:r>
      </w:hyperlink>
      <w:r w:rsidRPr="001D1591">
        <w:rPr>
          <w:color w:val="000000" w:themeColor="text1"/>
        </w:rPr>
        <w:t xml:space="preserve"> _ EOG4kD268Xk3yQEOLl8VbnjphhUIsqWLlz4Hozw5fApU).</w:t>
      </w:r>
    </w:p>
  </w:footnote>
  <w:footnote w:id="221">
    <w:p w14:paraId="3AA39ED0" w14:textId="5B079F56" w:rsidR="001D1591" w:rsidRPr="00377DE0" w:rsidRDefault="001D1591">
      <w:pPr>
        <w:pStyle w:val="FootnoteText"/>
        <w:rPr>
          <w:color w:val="000000" w:themeColor="text1"/>
        </w:rPr>
      </w:pPr>
      <w:r w:rsidRPr="001D1591">
        <w:rPr>
          <w:rStyle w:val="FootnoteReference"/>
          <w:color w:val="000000" w:themeColor="text1"/>
        </w:rPr>
        <w:footnoteRef/>
      </w:r>
      <w:r w:rsidRPr="001D1591">
        <w:rPr>
          <w:color w:val="000000" w:themeColor="text1"/>
        </w:rPr>
        <w:t xml:space="preserve"> </w:t>
      </w:r>
      <w:r w:rsidRPr="001D1591">
        <w:rPr>
          <w:color w:val="000000" w:themeColor="text1"/>
        </w:rPr>
        <w:t xml:space="preserve">Terry Gross, “Neurologist Oliver Sacks on the Hallucination that Saved His Life,” </w:t>
      </w:r>
      <w:r w:rsidRPr="001D1591">
        <w:rPr>
          <w:i/>
          <w:color w:val="000000" w:themeColor="text1"/>
        </w:rPr>
        <w:t xml:space="preserve">NPR Radio </w:t>
      </w:r>
      <w:r w:rsidRPr="001D1591">
        <w:rPr>
          <w:color w:val="000000" w:themeColor="text1"/>
        </w:rPr>
        <w:t xml:space="preserve">(September 21, 2020): </w:t>
      </w:r>
      <w:hyperlink r:id="rId76">
        <w:r w:rsidRPr="001D1591">
          <w:rPr>
            <w:rStyle w:val="Hyperlink"/>
            <w:color w:val="000000" w:themeColor="text1"/>
            <w:u w:val="none"/>
          </w:rPr>
          <w:t>https://www.npr.org/2020/09/21/915224016/neurologist-oliver-sacks-on-the-hallucination-that-saved-his-life.</w:t>
        </w:r>
      </w:hyperlink>
      <w:r>
        <w:rPr>
          <w:color w:val="000000" w:themeColor="text1"/>
        </w:rPr>
        <w:t xml:space="preserve"> </w:t>
      </w:r>
      <w:r w:rsidRPr="001D1591">
        <w:rPr>
          <w:color w:val="000000" w:themeColor="text1"/>
        </w:rPr>
        <w:t>Accessed May 15, 2021.</w:t>
      </w:r>
    </w:p>
  </w:footnote>
  <w:footnote w:id="222">
    <w:p w14:paraId="41E371AD" w14:textId="77777777" w:rsidR="00377DE0" w:rsidRPr="00377DE0" w:rsidRDefault="00377DE0" w:rsidP="00377DE0">
      <w:pPr>
        <w:pStyle w:val="FootnoteText"/>
      </w:pPr>
      <w:r>
        <w:rPr>
          <w:rStyle w:val="FootnoteReference"/>
        </w:rPr>
        <w:footnoteRef/>
      </w:r>
      <w:r>
        <w:t xml:space="preserve"> </w:t>
      </w:r>
      <w:r w:rsidRPr="00377DE0">
        <w:t xml:space="preserve">Assen Jablensky, “The Diagnostic Concept of Schizophrenia: Its History, Evolution, and Future Prospects,” </w:t>
      </w:r>
      <w:r w:rsidRPr="00377DE0">
        <w:rPr>
          <w:i/>
        </w:rPr>
        <w:t xml:space="preserve">Dialogues in Clinical Neuroscience </w:t>
      </w:r>
      <w:r w:rsidRPr="00377DE0">
        <w:t>vol. 12 (3) (2010): 271-287. DOI: 10.31887/DCNS.2010.12.3/ajablensky.</w:t>
      </w:r>
    </w:p>
    <w:p w14:paraId="38563ADA" w14:textId="4D8CD1E3" w:rsidR="00377DE0" w:rsidRDefault="00377DE0">
      <w:pPr>
        <w:pStyle w:val="FootnoteText"/>
      </w:pPr>
    </w:p>
  </w:footnote>
  <w:footnote w:id="223">
    <w:p w14:paraId="224E6906" w14:textId="77777777" w:rsidR="00377DE0" w:rsidRPr="00377DE0" w:rsidRDefault="00377DE0" w:rsidP="00377DE0">
      <w:pPr>
        <w:pStyle w:val="FootnoteText"/>
        <w:rPr>
          <w:color w:val="000000" w:themeColor="text1"/>
        </w:rPr>
      </w:pPr>
      <w:r>
        <w:rPr>
          <w:rStyle w:val="FootnoteReference"/>
        </w:rPr>
        <w:footnoteRef/>
      </w:r>
      <w:r>
        <w:t xml:space="preserve"> </w:t>
      </w:r>
      <w:r w:rsidRPr="00377DE0">
        <w:t xml:space="preserve">Awais Aftab and M. </w:t>
      </w:r>
      <w:r w:rsidRPr="00377DE0">
        <w:rPr>
          <w:color w:val="000000" w:themeColor="text1"/>
        </w:rPr>
        <w:t xml:space="preserve">Sharma, “How Not to Think about Biomarkers in Psychiatry: Challenges and Conceptual Pitfalls,” </w:t>
      </w:r>
      <w:r w:rsidRPr="00377DE0">
        <w:rPr>
          <w:i/>
          <w:color w:val="000000" w:themeColor="text1"/>
        </w:rPr>
        <w:t xml:space="preserve">Biomarkers in Neuropsychiatry </w:t>
      </w:r>
      <w:r w:rsidRPr="00377DE0">
        <w:rPr>
          <w:color w:val="000000" w:themeColor="text1"/>
        </w:rPr>
        <w:t xml:space="preserve">vol. 4 (June 2021): </w:t>
      </w:r>
      <w:hyperlink r:id="rId77">
        <w:r w:rsidRPr="00377DE0">
          <w:rPr>
            <w:rStyle w:val="Hyperlink"/>
            <w:color w:val="000000" w:themeColor="text1"/>
            <w:u w:val="none"/>
          </w:rPr>
          <w:t>https://doi.org/10.1016/j.bionps.2021.100031.</w:t>
        </w:r>
      </w:hyperlink>
      <w:r w:rsidRPr="00377DE0">
        <w:rPr>
          <w:color w:val="000000" w:themeColor="text1"/>
        </w:rPr>
        <w:t xml:space="preserve"> Accessed May 20, 2021.</w:t>
      </w:r>
    </w:p>
    <w:p w14:paraId="1B351A25" w14:textId="351FDD01" w:rsidR="00377DE0" w:rsidRDefault="00377DE0">
      <w:pPr>
        <w:pStyle w:val="FootnoteText"/>
      </w:pPr>
    </w:p>
  </w:footnote>
  <w:footnote w:id="224">
    <w:p w14:paraId="5BB7EC2B" w14:textId="0859E74E" w:rsidR="00657272" w:rsidRPr="00657272" w:rsidRDefault="00657272">
      <w:pPr>
        <w:pStyle w:val="FootnoteText"/>
        <w:rPr>
          <w:i/>
        </w:rPr>
      </w:pPr>
      <w:r>
        <w:rPr>
          <w:rStyle w:val="FootnoteReference"/>
        </w:rPr>
        <w:footnoteRef/>
      </w:r>
      <w:r>
        <w:t xml:space="preserve"> </w:t>
      </w:r>
      <w:r w:rsidRPr="00657272">
        <w:t xml:space="preserve">Aftab and Sharma, </w:t>
      </w:r>
      <w:r w:rsidRPr="00657272">
        <w:rPr>
          <w:i/>
        </w:rPr>
        <w:t>“How Not to Think about Biomarkers in Psychiatry.”</w:t>
      </w:r>
    </w:p>
  </w:footnote>
  <w:footnote w:id="225">
    <w:p w14:paraId="58CF2124" w14:textId="45DDFA49" w:rsidR="00657272" w:rsidRDefault="00657272">
      <w:pPr>
        <w:pStyle w:val="FootnoteText"/>
      </w:pPr>
      <w:r>
        <w:rPr>
          <w:rStyle w:val="FootnoteReference"/>
        </w:rPr>
        <w:footnoteRef/>
      </w:r>
      <w:r>
        <w:t xml:space="preserve"> </w:t>
      </w:r>
      <w:r w:rsidRPr="00657272">
        <w:t xml:space="preserve">Jeffrey A. Lieberman, </w:t>
      </w:r>
      <w:r w:rsidRPr="00657272">
        <w:rPr>
          <w:i/>
        </w:rPr>
        <w:t xml:space="preserve">Shrinks: The Untold Story of Psychiatry </w:t>
      </w:r>
      <w:r w:rsidRPr="00657272">
        <w:t>(New York: Little, Brown and Company, 2015), 26-27.</w:t>
      </w:r>
    </w:p>
  </w:footnote>
  <w:footnote w:id="226">
    <w:p w14:paraId="66A936BE" w14:textId="41EFF758" w:rsidR="00657272" w:rsidRDefault="00657272">
      <w:pPr>
        <w:pStyle w:val="FootnoteText"/>
      </w:pPr>
      <w:r>
        <w:rPr>
          <w:rStyle w:val="FootnoteReference"/>
        </w:rPr>
        <w:footnoteRef/>
      </w:r>
      <w:r>
        <w:t xml:space="preserve"> </w:t>
      </w:r>
      <w:r w:rsidRPr="00657272">
        <w:t>Ghaemi, “How Academia Left Me.”</w:t>
      </w:r>
    </w:p>
  </w:footnote>
  <w:footnote w:id="227">
    <w:p w14:paraId="4362881B" w14:textId="77777777" w:rsidR="00657272" w:rsidRPr="00657272" w:rsidRDefault="00657272" w:rsidP="00657272">
      <w:pPr>
        <w:pStyle w:val="FootnoteText"/>
      </w:pPr>
      <w:r>
        <w:rPr>
          <w:rStyle w:val="FootnoteReference"/>
        </w:rPr>
        <w:footnoteRef/>
      </w:r>
      <w:r>
        <w:t xml:space="preserve"> </w:t>
      </w:r>
      <w:r w:rsidRPr="00657272">
        <w:t>Aftab, “Psychiatry’s Intellectual Crisis.”</w:t>
      </w:r>
    </w:p>
    <w:p w14:paraId="437E0F86" w14:textId="360C4A47" w:rsidR="00657272" w:rsidRDefault="00657272">
      <w:pPr>
        <w:pStyle w:val="FootnoteText"/>
      </w:pPr>
    </w:p>
  </w:footnote>
  <w:footnote w:id="228">
    <w:p w14:paraId="548DA23E" w14:textId="4E1010EB" w:rsidR="00285F0E" w:rsidRPr="00285F0E" w:rsidRDefault="00285F0E">
      <w:pPr>
        <w:pStyle w:val="FootnoteText"/>
        <w:rPr>
          <w:color w:val="000000" w:themeColor="text1"/>
        </w:rPr>
      </w:pPr>
      <w:r w:rsidRPr="00285F0E">
        <w:rPr>
          <w:rStyle w:val="FootnoteReference"/>
          <w:color w:val="000000" w:themeColor="text1"/>
        </w:rPr>
        <w:footnoteRef/>
      </w:r>
      <w:r w:rsidRPr="00285F0E">
        <w:rPr>
          <w:color w:val="000000" w:themeColor="text1"/>
        </w:rPr>
        <w:t xml:space="preserve"> </w:t>
      </w:r>
      <w:r w:rsidRPr="00285F0E">
        <w:rPr>
          <w:rFonts w:ascii="Times New Roman"/>
          <w:color w:val="000000" w:themeColor="text1"/>
        </w:rPr>
        <w:t>Shorter,</w:t>
      </w:r>
      <w:r w:rsidRPr="00285F0E">
        <w:rPr>
          <w:rFonts w:ascii="Times New Roman"/>
          <w:color w:val="000000" w:themeColor="text1"/>
          <w:spacing w:val="17"/>
        </w:rPr>
        <w:t xml:space="preserve"> </w:t>
      </w:r>
      <w:r w:rsidRPr="00285F0E">
        <w:rPr>
          <w:rFonts w:ascii="Times New Roman"/>
          <w:i/>
          <w:color w:val="000000" w:themeColor="text1"/>
        </w:rPr>
        <w:t>History</w:t>
      </w:r>
      <w:r w:rsidRPr="00285F0E">
        <w:rPr>
          <w:rFonts w:ascii="Times New Roman"/>
          <w:i/>
          <w:color w:val="000000" w:themeColor="text1"/>
          <w:spacing w:val="7"/>
        </w:rPr>
        <w:t xml:space="preserve"> </w:t>
      </w:r>
      <w:r w:rsidRPr="00285F0E">
        <w:rPr>
          <w:rFonts w:ascii="Times New Roman"/>
          <w:i/>
          <w:color w:val="000000" w:themeColor="text1"/>
        </w:rPr>
        <w:t>of</w:t>
      </w:r>
      <w:r w:rsidRPr="00285F0E">
        <w:rPr>
          <w:rFonts w:ascii="Times New Roman"/>
          <w:i/>
          <w:color w:val="000000" w:themeColor="text1"/>
          <w:spacing w:val="8"/>
        </w:rPr>
        <w:t xml:space="preserve"> </w:t>
      </w:r>
      <w:r w:rsidRPr="00285F0E">
        <w:rPr>
          <w:rFonts w:ascii="Times New Roman"/>
          <w:i/>
          <w:color w:val="000000" w:themeColor="text1"/>
        </w:rPr>
        <w:t>Psychiatry</w:t>
      </w:r>
      <w:r w:rsidRPr="00285F0E">
        <w:rPr>
          <w:rFonts w:ascii="Times New Roman"/>
          <w:color w:val="000000" w:themeColor="text1"/>
        </w:rPr>
        <w:t>,</w:t>
      </w:r>
      <w:r w:rsidRPr="00285F0E">
        <w:rPr>
          <w:rFonts w:ascii="Times New Roman"/>
          <w:color w:val="000000" w:themeColor="text1"/>
          <w:spacing w:val="17"/>
        </w:rPr>
        <w:t xml:space="preserve"> </w:t>
      </w:r>
      <w:r w:rsidRPr="00285F0E">
        <w:rPr>
          <w:rFonts w:ascii="Times New Roman"/>
          <w:color w:val="000000" w:themeColor="text1"/>
          <w:spacing w:val="-4"/>
        </w:rPr>
        <w:t>300.</w:t>
      </w:r>
    </w:p>
  </w:footnote>
  <w:footnote w:id="229">
    <w:p w14:paraId="1392B398" w14:textId="77777777" w:rsidR="00285F0E" w:rsidRPr="00285F0E" w:rsidRDefault="00285F0E" w:rsidP="00285F0E">
      <w:pPr>
        <w:pStyle w:val="FootnoteText"/>
        <w:rPr>
          <w:color w:val="000000" w:themeColor="text1"/>
        </w:rPr>
      </w:pPr>
      <w:r w:rsidRPr="00285F0E">
        <w:rPr>
          <w:rStyle w:val="FootnoteReference"/>
          <w:color w:val="000000" w:themeColor="text1"/>
        </w:rPr>
        <w:footnoteRef/>
      </w:r>
      <w:r w:rsidRPr="00285F0E">
        <w:rPr>
          <w:color w:val="000000" w:themeColor="text1"/>
        </w:rPr>
        <w:t xml:space="preserve"> </w:t>
      </w:r>
      <w:r w:rsidRPr="00285F0E">
        <w:rPr>
          <w:color w:val="000000" w:themeColor="text1"/>
        </w:rPr>
        <w:t xml:space="preserve">Kenneth S. Kendler, “DSM Issues: Incorporation of Biological Tests, Avoidance of Reification, and an Approach to the ‘Box Canyon Problem,’” </w:t>
      </w:r>
      <w:r w:rsidRPr="00285F0E">
        <w:rPr>
          <w:i/>
          <w:color w:val="000000" w:themeColor="text1"/>
        </w:rPr>
        <w:t xml:space="preserve">The American Journal of Psychiatry </w:t>
      </w:r>
      <w:r w:rsidRPr="00285F0E">
        <w:rPr>
          <w:color w:val="000000" w:themeColor="text1"/>
        </w:rPr>
        <w:t xml:space="preserve">(December 1, 2014): </w:t>
      </w:r>
      <w:hyperlink r:id="rId78">
        <w:r w:rsidRPr="00285F0E">
          <w:rPr>
            <w:rStyle w:val="Hyperlink"/>
            <w:color w:val="000000" w:themeColor="text1"/>
            <w:u w:val="none"/>
          </w:rPr>
          <w:t>https://doi.org/10.1176/</w:t>
        </w:r>
      </w:hyperlink>
      <w:r w:rsidRPr="00285F0E">
        <w:rPr>
          <w:color w:val="000000" w:themeColor="text1"/>
        </w:rPr>
        <w:t xml:space="preserve"> appi.ajp.2014.14081018. Accessed March 10, 2021.</w:t>
      </w:r>
    </w:p>
    <w:p w14:paraId="15486436" w14:textId="7E0096D2" w:rsidR="00285F0E" w:rsidRDefault="00285F0E">
      <w:pPr>
        <w:pStyle w:val="FootnoteText"/>
      </w:pPr>
    </w:p>
  </w:footnote>
  <w:footnote w:id="230">
    <w:p w14:paraId="24938CB1" w14:textId="1743DA89" w:rsidR="00285F0E" w:rsidRDefault="00285F0E">
      <w:pPr>
        <w:pStyle w:val="FootnoteText"/>
      </w:pPr>
      <w:r>
        <w:rPr>
          <w:rStyle w:val="FootnoteReference"/>
        </w:rPr>
        <w:footnoteRef/>
      </w:r>
      <w:r>
        <w:t xml:space="preserve"> Ibid.</w:t>
      </w:r>
    </w:p>
  </w:footnote>
  <w:footnote w:id="231">
    <w:p w14:paraId="61DD261C" w14:textId="77777777" w:rsidR="00285F0E" w:rsidRPr="00285F0E" w:rsidRDefault="00285F0E" w:rsidP="00285F0E">
      <w:pPr>
        <w:pStyle w:val="FootnoteText"/>
      </w:pPr>
      <w:r>
        <w:rPr>
          <w:rStyle w:val="FootnoteReference"/>
        </w:rPr>
        <w:footnoteRef/>
      </w:r>
      <w:r>
        <w:t xml:space="preserve"> </w:t>
      </w:r>
      <w:r w:rsidRPr="00285F0E">
        <w:t>Giovanni Fava interviewed by Awais Aftab, “Psychiatry’s Intellectual Crisis.”</w:t>
      </w:r>
    </w:p>
    <w:p w14:paraId="08E46C1F" w14:textId="7C0BFC40" w:rsidR="00285F0E" w:rsidRDefault="00285F0E">
      <w:pPr>
        <w:pStyle w:val="FootnoteText"/>
      </w:pPr>
    </w:p>
  </w:footnote>
  <w:footnote w:id="232">
    <w:p w14:paraId="7CC3B1AE" w14:textId="7BB1F192" w:rsidR="00285F0E" w:rsidRDefault="00285F0E">
      <w:pPr>
        <w:pStyle w:val="FootnoteText"/>
      </w:pPr>
      <w:r>
        <w:rPr>
          <w:rStyle w:val="FootnoteReference"/>
        </w:rPr>
        <w:footnoteRef/>
      </w:r>
      <w:r>
        <w:t xml:space="preserve"> </w:t>
      </w:r>
      <w:r w:rsidRPr="00285F0E">
        <w:t xml:space="preserve">Robert J. </w:t>
      </w:r>
      <w:r w:rsidRPr="00285F0E">
        <w:rPr>
          <w:color w:val="000000" w:themeColor="text1"/>
        </w:rPr>
        <w:t xml:space="preserve">Marks II, “How Materialism Proves Unbounded Scientific Ignorance,” </w:t>
      </w:r>
      <w:r w:rsidRPr="00285F0E">
        <w:rPr>
          <w:i/>
          <w:color w:val="000000" w:themeColor="text1"/>
        </w:rPr>
        <w:t xml:space="preserve">Evolution News and Science Today </w:t>
      </w:r>
      <w:r w:rsidRPr="00285F0E">
        <w:rPr>
          <w:color w:val="000000" w:themeColor="text1"/>
        </w:rPr>
        <w:t xml:space="preserve">(April 26, 2021): </w:t>
      </w:r>
      <w:hyperlink r:id="rId79">
        <w:r w:rsidRPr="00285F0E">
          <w:rPr>
            <w:rStyle w:val="Hyperlink"/>
            <w:color w:val="000000" w:themeColor="text1"/>
            <w:u w:val="none"/>
          </w:rPr>
          <w:t>https://evolutionnews.org/2021/04/how-materialism-proves-unbounded-scientific-</w:t>
        </w:r>
      </w:hyperlink>
      <w:r w:rsidRPr="00285F0E">
        <w:rPr>
          <w:color w:val="000000" w:themeColor="text1"/>
        </w:rPr>
        <w:t>ignorance/?fbclid=IwAR2WVEzrPDwwkHUmM1o_0Qo4nS-RwWOmAkoxQXm0pIDXovvItlG5XiO  mzXY_aem_AQWU4skEku76Wxk-spGil6nqSy-Tg6-A9CElst2TYh-_cA_KTcPhkfR048dwco-EBdklq_  ZNI9CzePCPl7J00rqjSRt-ihmA8GZaFinJOt34dbCR-mXsqJzxTFwlWZdm9KE. Accessed May 2, 2021.</w:t>
      </w:r>
    </w:p>
  </w:footnote>
  <w:footnote w:id="233">
    <w:p w14:paraId="5D51A83A" w14:textId="77777777" w:rsidR="00285F0E" w:rsidRPr="00285F0E" w:rsidRDefault="00285F0E" w:rsidP="00285F0E">
      <w:pPr>
        <w:pStyle w:val="FootnoteText"/>
      </w:pPr>
      <w:r>
        <w:rPr>
          <w:rStyle w:val="FootnoteReference"/>
        </w:rPr>
        <w:footnoteRef/>
      </w:r>
      <w:r>
        <w:t xml:space="preserve"> </w:t>
      </w:r>
      <w:r w:rsidRPr="00285F0E">
        <w:t xml:space="preserve">Berger, </w:t>
      </w:r>
      <w:r w:rsidRPr="00285F0E">
        <w:rPr>
          <w:i/>
        </w:rPr>
        <w:t xml:space="preserve">Saving Abnormal, </w:t>
      </w:r>
      <w:r w:rsidRPr="00285F0E">
        <w:t>253-387.</w:t>
      </w:r>
    </w:p>
    <w:p w14:paraId="266FCC40" w14:textId="20AF92B0" w:rsidR="00285F0E" w:rsidRDefault="00285F0E">
      <w:pPr>
        <w:pStyle w:val="FootnoteText"/>
      </w:pPr>
    </w:p>
  </w:footnote>
  <w:footnote w:id="234">
    <w:p w14:paraId="2CCE36BD" w14:textId="7389AFE5" w:rsidR="00285F0E" w:rsidRPr="00285F0E" w:rsidRDefault="00285F0E">
      <w:pPr>
        <w:pStyle w:val="FootnoteText"/>
        <w:rPr>
          <w:i/>
          <w:color w:val="000000" w:themeColor="text1"/>
        </w:rPr>
      </w:pPr>
      <w:r w:rsidRPr="00285F0E">
        <w:rPr>
          <w:rStyle w:val="FootnoteReference"/>
          <w:color w:val="000000" w:themeColor="text1"/>
        </w:rPr>
        <w:footnoteRef/>
      </w:r>
      <w:r w:rsidRPr="00285F0E">
        <w:rPr>
          <w:color w:val="000000" w:themeColor="text1"/>
        </w:rPr>
        <w:t xml:space="preserve"> </w:t>
      </w:r>
      <w:r w:rsidRPr="00285F0E">
        <w:rPr>
          <w:color w:val="000000" w:themeColor="text1"/>
        </w:rPr>
        <w:t xml:space="preserve">For further study on the fundamental doctrines of the Medical Model, see Berger, </w:t>
      </w:r>
      <w:r w:rsidRPr="00285F0E">
        <w:rPr>
          <w:i/>
          <w:color w:val="000000" w:themeColor="text1"/>
        </w:rPr>
        <w:t>Saving Abnormal.</w:t>
      </w:r>
    </w:p>
  </w:footnote>
  <w:footnote w:id="235">
    <w:p w14:paraId="544C9C93" w14:textId="588263C4" w:rsidR="00285F0E" w:rsidRPr="00285F0E" w:rsidRDefault="00285F0E">
      <w:pPr>
        <w:pStyle w:val="FootnoteText"/>
        <w:rPr>
          <w:color w:val="000000" w:themeColor="text1"/>
        </w:rPr>
      </w:pPr>
      <w:r w:rsidRPr="00285F0E">
        <w:rPr>
          <w:rStyle w:val="FootnoteReference"/>
          <w:color w:val="000000" w:themeColor="text1"/>
        </w:rPr>
        <w:footnoteRef/>
      </w:r>
      <w:r w:rsidRPr="00285F0E">
        <w:rPr>
          <w:color w:val="000000" w:themeColor="text1"/>
        </w:rPr>
        <w:t xml:space="preserve"> </w:t>
      </w:r>
      <w:r w:rsidRPr="00285F0E">
        <w:rPr>
          <w:color w:val="000000" w:themeColor="text1"/>
        </w:rPr>
        <w:t xml:space="preserve">Paul Summergrad interviewed by Awais Aftab, “Psychiatry and the Long View: Paul Summergrad, MD,” </w:t>
      </w:r>
      <w:r w:rsidRPr="00285F0E">
        <w:rPr>
          <w:i/>
          <w:color w:val="000000" w:themeColor="text1"/>
        </w:rPr>
        <w:t xml:space="preserve">Psychiatric Times </w:t>
      </w:r>
      <w:r w:rsidRPr="00285F0E">
        <w:rPr>
          <w:color w:val="000000" w:themeColor="text1"/>
        </w:rPr>
        <w:t xml:space="preserve">(May 20, 2021): </w:t>
      </w:r>
      <w:hyperlink r:id="rId80">
        <w:r w:rsidRPr="00285F0E">
          <w:rPr>
            <w:rStyle w:val="Hyperlink"/>
            <w:color w:val="000000" w:themeColor="text1"/>
            <w:u w:val="none"/>
          </w:rPr>
          <w:t>https://www.psychiatrictimes.com/view/psychiatry-long-view.</w:t>
        </w:r>
      </w:hyperlink>
      <w:r w:rsidRPr="00285F0E">
        <w:rPr>
          <w:color w:val="000000" w:themeColor="text1"/>
        </w:rPr>
        <w:t xml:space="preserve"> Accessed May 22, 2021.</w:t>
      </w:r>
    </w:p>
  </w:footnote>
  <w:footnote w:id="236">
    <w:p w14:paraId="1796F835" w14:textId="77777777" w:rsidR="00285F0E" w:rsidRPr="00285F0E" w:rsidRDefault="00285F0E" w:rsidP="00285F0E">
      <w:pPr>
        <w:pStyle w:val="FootnoteText"/>
      </w:pPr>
      <w:r>
        <w:rPr>
          <w:rStyle w:val="FootnoteReference"/>
        </w:rPr>
        <w:footnoteRef/>
      </w:r>
      <w:r>
        <w:t xml:space="preserve"> </w:t>
      </w:r>
      <w:r w:rsidRPr="00285F0E">
        <w:t xml:space="preserve">Frances, </w:t>
      </w:r>
      <w:r w:rsidRPr="00285F0E">
        <w:rPr>
          <w:i/>
        </w:rPr>
        <w:t>Saving Normal</w:t>
      </w:r>
      <w:r w:rsidRPr="00285F0E">
        <w:t>, 21.</w:t>
      </w:r>
    </w:p>
    <w:p w14:paraId="7BFC05BD" w14:textId="15BCD7B5" w:rsidR="00285F0E" w:rsidRDefault="00285F0E">
      <w:pPr>
        <w:pStyle w:val="FootnoteText"/>
      </w:pPr>
    </w:p>
  </w:footnote>
  <w:footnote w:id="237">
    <w:p w14:paraId="34912293" w14:textId="2D90F20E" w:rsidR="00D60EE3" w:rsidRDefault="00D60EE3">
      <w:pPr>
        <w:pStyle w:val="FootnoteText"/>
      </w:pPr>
      <w:r>
        <w:rPr>
          <w:rStyle w:val="FootnoteReference"/>
        </w:rPr>
        <w:footnoteRef/>
      </w:r>
      <w:r>
        <w:t xml:space="preserve"> </w:t>
      </w:r>
      <w:r w:rsidRPr="00D60EE3">
        <w:t xml:space="preserve">Ronald W. </w:t>
      </w:r>
      <w:r w:rsidRPr="00D60EE3">
        <w:rPr>
          <w:color w:val="000000" w:themeColor="text1"/>
        </w:rPr>
        <w:t xml:space="preserve">Pies, “Do Psychiatrists Treat Diseases?” </w:t>
      </w:r>
      <w:r w:rsidRPr="00D60EE3">
        <w:rPr>
          <w:i/>
          <w:color w:val="000000" w:themeColor="text1"/>
        </w:rPr>
        <w:t xml:space="preserve">The Psychiatric Times </w:t>
      </w:r>
      <w:r w:rsidRPr="00D60EE3">
        <w:rPr>
          <w:color w:val="000000" w:themeColor="text1"/>
        </w:rPr>
        <w:t xml:space="preserve">(April 22, 2021): </w:t>
      </w:r>
      <w:hyperlink r:id="rId81">
        <w:r w:rsidRPr="00D60EE3">
          <w:rPr>
            <w:rStyle w:val="Hyperlink"/>
            <w:color w:val="000000" w:themeColor="text1"/>
            <w:u w:val="none"/>
          </w:rPr>
          <w:t>https://www.</w:t>
        </w:r>
      </w:hyperlink>
      <w:r w:rsidRPr="00D60EE3">
        <w:rPr>
          <w:color w:val="000000" w:themeColor="text1"/>
        </w:rPr>
        <w:t xml:space="preserve"> psychiatrictimes.com/view/psychiatrists-treat-diseases?utm_source=sfmc&amp;utm_medium=email&amp;utm _ campaign=04242021_NEU-21-PSD0297_PT_Ingrezza_Reg%20Sched&amp;eKey=ZHJiZXJnZXIuZHJAZ21ha   WwuY29t. Accessed April 28, 2021.</w:t>
      </w:r>
    </w:p>
  </w:footnote>
  <w:footnote w:id="238">
    <w:p w14:paraId="6902348F" w14:textId="77777777" w:rsidR="00D60EE3" w:rsidRPr="00D60EE3" w:rsidRDefault="00D60EE3" w:rsidP="00D60EE3">
      <w:pPr>
        <w:pStyle w:val="FootnoteText"/>
      </w:pPr>
      <w:r>
        <w:rPr>
          <w:rStyle w:val="FootnoteReference"/>
        </w:rPr>
        <w:footnoteRef/>
      </w:r>
      <w:r>
        <w:t xml:space="preserve"> </w:t>
      </w:r>
      <w:r w:rsidRPr="00D60EE3">
        <w:t xml:space="preserve">Ronald W. Pies, “Psychiatric Diagnosis and the Pathologist’s View of Schizophrenia,” </w:t>
      </w:r>
      <w:r w:rsidRPr="00D60EE3">
        <w:rPr>
          <w:i/>
        </w:rPr>
        <w:t xml:space="preserve">Psychiatry </w:t>
      </w:r>
      <w:r w:rsidRPr="00D60EE3">
        <w:t>vol. 5 (7) (2008): 62-65. Accessed April 28, 2021.</w:t>
      </w:r>
    </w:p>
    <w:p w14:paraId="335CCD73" w14:textId="14A74CC2" w:rsidR="00D60EE3" w:rsidRDefault="00D60EE3">
      <w:pPr>
        <w:pStyle w:val="FootnoteText"/>
      </w:pPr>
    </w:p>
  </w:footnote>
  <w:footnote w:id="239">
    <w:p w14:paraId="2CED19B8" w14:textId="3F626F66" w:rsidR="0071136C" w:rsidRPr="0071136C" w:rsidRDefault="0071136C">
      <w:pPr>
        <w:pStyle w:val="FootnoteText"/>
        <w:rPr>
          <w:i/>
          <w:color w:val="000000" w:themeColor="text1"/>
        </w:rPr>
      </w:pPr>
      <w:r w:rsidRPr="0071136C">
        <w:rPr>
          <w:rStyle w:val="FootnoteReference"/>
          <w:color w:val="000000" w:themeColor="text1"/>
        </w:rPr>
        <w:footnoteRef/>
      </w:r>
      <w:r w:rsidRPr="0071136C">
        <w:rPr>
          <w:color w:val="000000" w:themeColor="text1"/>
        </w:rPr>
        <w:t xml:space="preserve"> </w:t>
      </w:r>
      <w:r w:rsidRPr="0071136C">
        <w:rPr>
          <w:color w:val="000000" w:themeColor="text1"/>
        </w:rPr>
        <w:t xml:space="preserve">Awais Aftab and Dainius Pūras, “Global Psychiatry’s Crisis of Values: Dainius Pūras, MD,” </w:t>
      </w:r>
      <w:r w:rsidRPr="0071136C">
        <w:rPr>
          <w:i/>
          <w:color w:val="000000" w:themeColor="text1"/>
        </w:rPr>
        <w:t>The Psychiatric Times</w:t>
      </w:r>
      <w:r w:rsidRPr="0071136C">
        <w:rPr>
          <w:i/>
          <w:color w:val="000000" w:themeColor="text1"/>
        </w:rPr>
        <w:t xml:space="preserve"> </w:t>
      </w:r>
      <w:r w:rsidRPr="0071136C">
        <w:rPr>
          <w:color w:val="000000" w:themeColor="text1"/>
        </w:rPr>
        <w:t xml:space="preserve">(June 3, 2021): </w:t>
      </w:r>
      <w:hyperlink r:id="rId82">
        <w:r w:rsidRPr="0071136C">
          <w:rPr>
            <w:rStyle w:val="Hyperlink"/>
            <w:color w:val="000000" w:themeColor="text1"/>
            <w:u w:val="none"/>
          </w:rPr>
          <w:t>https://www.psychiatrictimes.com/view/global-psychiatry-crisis-values.</w:t>
        </w:r>
      </w:hyperlink>
      <w:r w:rsidRPr="0071136C">
        <w:rPr>
          <w:color w:val="000000" w:themeColor="text1"/>
        </w:rPr>
        <w:t xml:space="preserve"> Accessed June 3, 2021.</w:t>
      </w:r>
    </w:p>
  </w:footnote>
  <w:footnote w:id="240">
    <w:p w14:paraId="3B018B8A" w14:textId="2C20E495" w:rsidR="0071136C" w:rsidRDefault="0071136C">
      <w:pPr>
        <w:pStyle w:val="FootnoteText"/>
      </w:pPr>
      <w:r>
        <w:rPr>
          <w:rStyle w:val="FootnoteReference"/>
        </w:rPr>
        <w:footnoteRef/>
      </w:r>
      <w:r>
        <w:t xml:space="preserve"> Ibid.</w:t>
      </w:r>
    </w:p>
  </w:footnote>
  <w:footnote w:id="241">
    <w:p w14:paraId="7E0CBF4B" w14:textId="77777777" w:rsidR="0071136C" w:rsidRPr="0071136C" w:rsidRDefault="0071136C" w:rsidP="0071136C">
      <w:pPr>
        <w:pStyle w:val="FootnoteText"/>
      </w:pPr>
      <w:r>
        <w:rPr>
          <w:rStyle w:val="FootnoteReference"/>
        </w:rPr>
        <w:footnoteRef/>
      </w:r>
      <w:r>
        <w:t xml:space="preserve"> </w:t>
      </w:r>
      <w:r w:rsidRPr="0071136C">
        <w:t xml:space="preserve">American Psychiatric Association, </w:t>
      </w:r>
      <w:r w:rsidRPr="0071136C">
        <w:rPr>
          <w:i/>
        </w:rPr>
        <w:t xml:space="preserve">Diagnostic and Statistical Manual of Mental Disorders, </w:t>
      </w:r>
      <w:r w:rsidRPr="0071136C">
        <w:t>5th ed. (Washington, DC: American Psychiatric Publishing, 2013), 20.</w:t>
      </w:r>
    </w:p>
    <w:p w14:paraId="68B2CFC3" w14:textId="4A138D91" w:rsidR="0071136C" w:rsidRDefault="0071136C">
      <w:pPr>
        <w:pStyle w:val="FootnoteText"/>
      </w:pPr>
    </w:p>
  </w:footnote>
  <w:footnote w:id="242">
    <w:p w14:paraId="25A5F13D" w14:textId="1ED464A8" w:rsidR="00157EAD" w:rsidRPr="00557093" w:rsidRDefault="00157EAD">
      <w:pPr>
        <w:pStyle w:val="FootnoteText"/>
        <w:rPr>
          <w:color w:val="000000" w:themeColor="text1"/>
        </w:rPr>
      </w:pPr>
      <w:r w:rsidRPr="00557093">
        <w:rPr>
          <w:rStyle w:val="FootnoteReference"/>
          <w:color w:val="000000" w:themeColor="text1"/>
        </w:rPr>
        <w:footnoteRef/>
      </w:r>
      <w:r w:rsidRPr="00557093">
        <w:rPr>
          <w:color w:val="000000" w:themeColor="text1"/>
        </w:rPr>
        <w:t xml:space="preserve"> </w:t>
      </w:r>
      <w:r w:rsidR="00557093" w:rsidRPr="00557093">
        <w:rPr>
          <w:color w:val="000000" w:themeColor="text1"/>
        </w:rPr>
        <w:t xml:space="preserve"> </w:t>
      </w:r>
      <w:r w:rsidR="00557093" w:rsidRPr="00557093">
        <w:rPr>
          <w:color w:val="000000" w:themeColor="text1"/>
        </w:rPr>
        <w:t xml:space="preserve">Joanna Moncrieff, “Why I Don’t Like the Idea that Mental Disorder is a Disease,” </w:t>
      </w:r>
      <w:r w:rsidR="00557093" w:rsidRPr="00557093">
        <w:rPr>
          <w:i/>
          <w:color w:val="000000" w:themeColor="text1"/>
        </w:rPr>
        <w:t>The Critical Psychiatry Network</w:t>
      </w:r>
      <w:r w:rsidR="00557093" w:rsidRPr="00557093">
        <w:rPr>
          <w:color w:val="000000" w:themeColor="text1"/>
        </w:rPr>
        <w:t xml:space="preserve"> </w:t>
      </w:r>
      <w:r w:rsidR="00557093" w:rsidRPr="00557093">
        <w:rPr>
          <w:color w:val="000000" w:themeColor="text1"/>
        </w:rPr>
        <w:t xml:space="preserve">(April  18,  2021):  </w:t>
      </w:r>
      <w:hyperlink r:id="rId83">
        <w:r w:rsidR="00557093" w:rsidRPr="00557093">
          <w:rPr>
            <w:rStyle w:val="Hyperlink"/>
            <w:color w:val="000000" w:themeColor="text1"/>
            <w:u w:val="none"/>
          </w:rPr>
          <w:t>http://www.criticalpsychiatry.co.uk/news/why-i-dont-like-the-idea-that-mental-disorder-is-a-</w:t>
        </w:r>
      </w:hyperlink>
      <w:r w:rsidR="00557093" w:rsidRPr="00557093">
        <w:rPr>
          <w:color w:val="000000" w:themeColor="text1"/>
        </w:rPr>
        <w:t>disease/. Accessed April 21, 2021.</w:t>
      </w:r>
    </w:p>
  </w:footnote>
  <w:footnote w:id="243">
    <w:p w14:paraId="2DE76C93" w14:textId="6C118AF6" w:rsidR="00557093" w:rsidRPr="00557093" w:rsidRDefault="00557093">
      <w:pPr>
        <w:pStyle w:val="FootnoteText"/>
        <w:rPr>
          <w:color w:val="000000" w:themeColor="text1"/>
        </w:rPr>
      </w:pPr>
      <w:r w:rsidRPr="00557093">
        <w:rPr>
          <w:rStyle w:val="FootnoteReference"/>
          <w:color w:val="000000" w:themeColor="text1"/>
        </w:rPr>
        <w:footnoteRef/>
      </w:r>
      <w:r w:rsidRPr="00557093">
        <w:rPr>
          <w:color w:val="000000" w:themeColor="text1"/>
        </w:rPr>
        <w:t xml:space="preserve"> </w:t>
      </w:r>
      <w:r w:rsidRPr="00557093">
        <w:rPr>
          <w:rFonts w:ascii="Times New Roman"/>
          <w:color w:val="000000" w:themeColor="text1"/>
        </w:rPr>
        <w:t>Frances,</w:t>
      </w:r>
      <w:r w:rsidRPr="00557093">
        <w:rPr>
          <w:rFonts w:ascii="Times New Roman"/>
          <w:color w:val="000000" w:themeColor="text1"/>
          <w:spacing w:val="22"/>
        </w:rPr>
        <w:t xml:space="preserve"> </w:t>
      </w:r>
      <w:r w:rsidRPr="00557093">
        <w:rPr>
          <w:rFonts w:ascii="Times New Roman"/>
          <w:i/>
          <w:color w:val="000000" w:themeColor="text1"/>
        </w:rPr>
        <w:t>Saving</w:t>
      </w:r>
      <w:r w:rsidRPr="00557093">
        <w:rPr>
          <w:rFonts w:ascii="Times New Roman"/>
          <w:i/>
          <w:color w:val="000000" w:themeColor="text1"/>
          <w:spacing w:val="12"/>
        </w:rPr>
        <w:t xml:space="preserve"> </w:t>
      </w:r>
      <w:r w:rsidRPr="00557093">
        <w:rPr>
          <w:rFonts w:ascii="Times New Roman"/>
          <w:i/>
          <w:color w:val="000000" w:themeColor="text1"/>
        </w:rPr>
        <w:t>Normal</w:t>
      </w:r>
      <w:r w:rsidRPr="00557093">
        <w:rPr>
          <w:rFonts w:ascii="Times New Roman"/>
          <w:color w:val="000000" w:themeColor="text1"/>
        </w:rPr>
        <w:t>,</w:t>
      </w:r>
      <w:r w:rsidRPr="00557093">
        <w:rPr>
          <w:rFonts w:ascii="Times New Roman"/>
          <w:color w:val="000000" w:themeColor="text1"/>
          <w:spacing w:val="23"/>
        </w:rPr>
        <w:t xml:space="preserve"> </w:t>
      </w:r>
      <w:r w:rsidRPr="00557093">
        <w:rPr>
          <w:rFonts w:ascii="Times New Roman"/>
          <w:color w:val="000000" w:themeColor="text1"/>
          <w:spacing w:val="-5"/>
        </w:rPr>
        <w:t>73.</w:t>
      </w:r>
    </w:p>
  </w:footnote>
  <w:footnote w:id="244">
    <w:p w14:paraId="44A51696" w14:textId="3ACB3622" w:rsidR="00557093" w:rsidRPr="00557093" w:rsidRDefault="00557093">
      <w:pPr>
        <w:pStyle w:val="FootnoteText"/>
        <w:rPr>
          <w:color w:val="000000" w:themeColor="text1"/>
        </w:rPr>
      </w:pPr>
      <w:r w:rsidRPr="00557093">
        <w:rPr>
          <w:rStyle w:val="FootnoteReference"/>
          <w:color w:val="000000" w:themeColor="text1"/>
        </w:rPr>
        <w:footnoteRef/>
      </w:r>
      <w:r w:rsidRPr="00557093">
        <w:rPr>
          <w:color w:val="000000" w:themeColor="text1"/>
        </w:rPr>
        <w:t xml:space="preserve"> </w:t>
      </w:r>
      <w:r w:rsidRPr="00557093">
        <w:rPr>
          <w:color w:val="000000" w:themeColor="text1"/>
        </w:rPr>
        <w:t xml:space="preserve">G. Scott Waterman and Sandra Steingard quoted by Laurie Martin, “10 Critical Conversations to Evaluate the Status Quo in Psychiatry,” </w:t>
      </w:r>
      <w:r w:rsidRPr="00557093">
        <w:rPr>
          <w:i/>
          <w:color w:val="000000" w:themeColor="text1"/>
        </w:rPr>
        <w:t xml:space="preserve">The Psychiatric Times </w:t>
      </w:r>
      <w:r w:rsidRPr="00557093">
        <w:rPr>
          <w:color w:val="000000" w:themeColor="text1"/>
        </w:rPr>
        <w:t xml:space="preserve">(May 24, 2021): </w:t>
      </w:r>
      <w:hyperlink r:id="rId84">
        <w:r w:rsidRPr="00557093">
          <w:rPr>
            <w:rStyle w:val="Hyperlink"/>
            <w:color w:val="000000" w:themeColor="text1"/>
            <w:u w:val="none"/>
          </w:rPr>
          <w:t>https://www.psychiatrictimes.com/view/ten-</w:t>
        </w:r>
      </w:hyperlink>
      <w:r w:rsidRPr="00557093">
        <w:rPr>
          <w:color w:val="000000" w:themeColor="text1"/>
        </w:rPr>
        <w:t>critical-conversations-evaluate-status-quo-psychiatry?page=4. Accessed June 2, 2021.</w:t>
      </w:r>
    </w:p>
  </w:footnote>
  <w:footnote w:id="245">
    <w:p w14:paraId="583F96FD" w14:textId="65A5E314" w:rsidR="00557093" w:rsidRPr="00557093" w:rsidRDefault="00557093">
      <w:pPr>
        <w:pStyle w:val="FootnoteText"/>
        <w:rPr>
          <w:color w:val="000000" w:themeColor="text1"/>
        </w:rPr>
      </w:pPr>
      <w:r w:rsidRPr="00557093">
        <w:rPr>
          <w:rStyle w:val="FootnoteReference"/>
          <w:color w:val="000000" w:themeColor="text1"/>
        </w:rPr>
        <w:footnoteRef/>
      </w:r>
      <w:r w:rsidRPr="00557093">
        <w:rPr>
          <w:color w:val="000000" w:themeColor="text1"/>
        </w:rPr>
        <w:t xml:space="preserve"> </w:t>
      </w:r>
      <w:r w:rsidRPr="00557093">
        <w:rPr>
          <w:color w:val="000000" w:themeColor="text1"/>
        </w:rPr>
        <w:t>Andreasen, “</w:t>
      </w:r>
      <w:r w:rsidRPr="00557093">
        <w:rPr>
          <w:i/>
          <w:color w:val="000000" w:themeColor="text1"/>
        </w:rPr>
        <w:t xml:space="preserve">DSM </w:t>
      </w:r>
      <w:r w:rsidRPr="00557093">
        <w:rPr>
          <w:color w:val="000000" w:themeColor="text1"/>
        </w:rPr>
        <w:t>and the Death of Phenomenology.”</w:t>
      </w:r>
    </w:p>
  </w:footnote>
  <w:footnote w:id="246">
    <w:p w14:paraId="6A90968B" w14:textId="77777777" w:rsidR="00557093" w:rsidRPr="00557093" w:rsidRDefault="00557093" w:rsidP="00557093">
      <w:pPr>
        <w:pStyle w:val="FootnoteText"/>
        <w:rPr>
          <w:color w:val="000000" w:themeColor="text1"/>
        </w:rPr>
      </w:pPr>
      <w:r w:rsidRPr="00557093">
        <w:rPr>
          <w:rStyle w:val="FootnoteReference"/>
          <w:color w:val="000000" w:themeColor="text1"/>
        </w:rPr>
        <w:footnoteRef/>
      </w:r>
      <w:r w:rsidRPr="00557093">
        <w:rPr>
          <w:color w:val="000000" w:themeColor="text1"/>
        </w:rPr>
        <w:t xml:space="preserve"> </w:t>
      </w:r>
      <w:r w:rsidRPr="00557093">
        <w:rPr>
          <w:color w:val="000000" w:themeColor="text1"/>
        </w:rPr>
        <w:t xml:space="preserve">Sami Timimi quoted by Laurie Martin, “10 Critical Conversations to Evaluate the Status Quo in Psychiatry,” </w:t>
      </w:r>
      <w:r w:rsidRPr="00557093">
        <w:rPr>
          <w:i/>
          <w:color w:val="000000" w:themeColor="text1"/>
        </w:rPr>
        <w:t xml:space="preserve">The Psychiatric Times </w:t>
      </w:r>
      <w:r w:rsidRPr="00557093">
        <w:rPr>
          <w:color w:val="000000" w:themeColor="text1"/>
        </w:rPr>
        <w:t xml:space="preserve">(May 24, 2021): </w:t>
      </w:r>
      <w:hyperlink r:id="rId85">
        <w:r w:rsidRPr="00557093">
          <w:rPr>
            <w:rStyle w:val="Hyperlink"/>
            <w:color w:val="000000" w:themeColor="text1"/>
            <w:u w:val="none"/>
          </w:rPr>
          <w:t>https://www.psychiatrictimes.com/view/ten-critical-conversations-evaluate-</w:t>
        </w:r>
      </w:hyperlink>
      <w:r w:rsidRPr="00557093">
        <w:rPr>
          <w:color w:val="000000" w:themeColor="text1"/>
        </w:rPr>
        <w:t>status-quo-psychiatry?page=4.</w:t>
      </w:r>
    </w:p>
    <w:p w14:paraId="732FB774" w14:textId="47EC5133" w:rsidR="00557093" w:rsidRDefault="00557093">
      <w:pPr>
        <w:pStyle w:val="FootnoteText"/>
      </w:pPr>
    </w:p>
  </w:footnote>
  <w:footnote w:id="247">
    <w:p w14:paraId="65AA3372" w14:textId="77777777" w:rsidR="00A6220B" w:rsidRPr="00A6220B" w:rsidRDefault="00A6220B" w:rsidP="00A6220B">
      <w:pPr>
        <w:pStyle w:val="FootnoteText"/>
      </w:pPr>
      <w:r>
        <w:rPr>
          <w:rStyle w:val="FootnoteReference"/>
        </w:rPr>
        <w:footnoteRef/>
      </w:r>
      <w:r>
        <w:t xml:space="preserve"> </w:t>
      </w:r>
      <w:r w:rsidRPr="00A6220B">
        <w:t>Ghaemi, “One Step Back, Two Steps Forward.”</w:t>
      </w:r>
    </w:p>
    <w:p w14:paraId="45B87D90" w14:textId="4D8488AF" w:rsidR="00A6220B" w:rsidRDefault="00A6220B">
      <w:pPr>
        <w:pStyle w:val="FootnoteText"/>
      </w:pPr>
    </w:p>
  </w:footnote>
  <w:footnote w:id="248">
    <w:p w14:paraId="13D58B9D" w14:textId="247B7BCD" w:rsidR="00A6220B" w:rsidRPr="00A141FF" w:rsidRDefault="00A6220B">
      <w:pPr>
        <w:pStyle w:val="FootnoteText"/>
        <w:rPr>
          <w:color w:val="000000" w:themeColor="text1"/>
        </w:rPr>
      </w:pPr>
      <w:r w:rsidRPr="00A141FF">
        <w:rPr>
          <w:rStyle w:val="FootnoteReference"/>
          <w:color w:val="000000" w:themeColor="text1"/>
        </w:rPr>
        <w:footnoteRef/>
      </w:r>
      <w:r w:rsidRPr="00A141FF">
        <w:rPr>
          <w:color w:val="000000" w:themeColor="text1"/>
        </w:rPr>
        <w:t xml:space="preserve"> </w:t>
      </w:r>
      <w:r w:rsidRPr="00A141FF">
        <w:rPr>
          <w:color w:val="000000" w:themeColor="text1"/>
        </w:rPr>
        <w:t>Gardner and Kleinman, “Medicine and the Mind.”</w:t>
      </w:r>
    </w:p>
  </w:footnote>
  <w:footnote w:id="249">
    <w:p w14:paraId="568476C5" w14:textId="77777777" w:rsidR="00A141FF" w:rsidRPr="00A141FF" w:rsidRDefault="00A141FF" w:rsidP="00A141FF">
      <w:pPr>
        <w:pStyle w:val="FootnoteText"/>
        <w:rPr>
          <w:color w:val="000000" w:themeColor="text1"/>
        </w:rPr>
      </w:pPr>
      <w:r w:rsidRPr="00A141FF">
        <w:rPr>
          <w:rStyle w:val="FootnoteReference"/>
          <w:color w:val="000000" w:themeColor="text1"/>
        </w:rPr>
        <w:footnoteRef/>
      </w:r>
      <w:r w:rsidRPr="00A141FF">
        <w:rPr>
          <w:color w:val="000000" w:themeColor="text1"/>
        </w:rPr>
        <w:t xml:space="preserve"> </w:t>
      </w:r>
      <w:r w:rsidRPr="00A141FF">
        <w:rPr>
          <w:color w:val="000000" w:themeColor="text1"/>
        </w:rPr>
        <w:t xml:space="preserve">Mayo Clinic Staff, “Treatment-Resistant Depression,” The Mayo Clinic (December 27, 2020): </w:t>
      </w:r>
      <w:hyperlink r:id="rId86">
        <w:r w:rsidRPr="00A141FF">
          <w:rPr>
            <w:rStyle w:val="Hyperlink"/>
            <w:color w:val="000000" w:themeColor="text1"/>
            <w:u w:val="none"/>
          </w:rPr>
          <w:t>https://www.</w:t>
        </w:r>
      </w:hyperlink>
      <w:r w:rsidRPr="00A141FF">
        <w:rPr>
          <w:color w:val="000000" w:themeColor="text1"/>
        </w:rPr>
        <w:t xml:space="preserve"> mayoclinic.org/diseases-conditions/depression/in-depth/treatment-resistant-depression/art-20044324. Accessed March 4, 2021.</w:t>
      </w:r>
    </w:p>
    <w:p w14:paraId="36035A2B" w14:textId="32CD5768" w:rsidR="00A141FF" w:rsidRDefault="00A141FF">
      <w:pPr>
        <w:pStyle w:val="FootnoteText"/>
      </w:pPr>
    </w:p>
  </w:footnote>
  <w:footnote w:id="250">
    <w:p w14:paraId="0229C279" w14:textId="77777777" w:rsidR="00B107A3" w:rsidRPr="00B107A3" w:rsidRDefault="00A141FF" w:rsidP="00B107A3">
      <w:pPr>
        <w:pStyle w:val="FootnoteText"/>
        <w:rPr>
          <w:color w:val="000000" w:themeColor="text1"/>
        </w:rPr>
      </w:pPr>
      <w:r w:rsidRPr="00B107A3">
        <w:rPr>
          <w:rStyle w:val="FootnoteReference"/>
          <w:color w:val="000000" w:themeColor="text1"/>
        </w:rPr>
        <w:footnoteRef/>
      </w:r>
      <w:r w:rsidRPr="00B107A3">
        <w:rPr>
          <w:color w:val="000000" w:themeColor="text1"/>
        </w:rPr>
        <w:t xml:space="preserve"> </w:t>
      </w:r>
      <w:r w:rsidR="00B107A3" w:rsidRPr="00B107A3">
        <w:rPr>
          <w:color w:val="000000" w:themeColor="text1"/>
        </w:rPr>
        <w:t xml:space="preserve">“Mental Health Medications,” </w:t>
      </w:r>
      <w:r w:rsidR="00B107A3" w:rsidRPr="00B107A3">
        <w:rPr>
          <w:i/>
          <w:color w:val="000000" w:themeColor="text1"/>
        </w:rPr>
        <w:t xml:space="preserve">National Institute of Mental Health </w:t>
      </w:r>
      <w:r w:rsidR="00B107A3" w:rsidRPr="00B107A3">
        <w:rPr>
          <w:color w:val="000000" w:themeColor="text1"/>
        </w:rPr>
        <w:t xml:space="preserve">(October 2016): </w:t>
      </w:r>
      <w:hyperlink r:id="rId87">
        <w:r w:rsidR="00B107A3" w:rsidRPr="00B107A3">
          <w:rPr>
            <w:rStyle w:val="Hyperlink"/>
            <w:color w:val="000000" w:themeColor="text1"/>
            <w:u w:val="none"/>
          </w:rPr>
          <w:t>http://www.nimh.nih.gov/health/</w:t>
        </w:r>
      </w:hyperlink>
      <w:r w:rsidR="00B107A3" w:rsidRPr="00B107A3">
        <w:rPr>
          <w:color w:val="000000" w:themeColor="text1"/>
        </w:rPr>
        <w:t xml:space="preserve"> publications/mental-health-medications/index.shtml. Accessed, March 4, 2021.</w:t>
      </w:r>
    </w:p>
    <w:p w14:paraId="462AE13E" w14:textId="17165727" w:rsidR="00A141FF" w:rsidRDefault="00A141FF">
      <w:pPr>
        <w:pStyle w:val="FootnoteText"/>
      </w:pPr>
    </w:p>
  </w:footnote>
  <w:footnote w:id="251">
    <w:p w14:paraId="435E71F7" w14:textId="18C42127" w:rsidR="00B107A3" w:rsidRPr="00B107A3" w:rsidRDefault="00B107A3">
      <w:pPr>
        <w:pStyle w:val="FootnoteText"/>
        <w:rPr>
          <w:color w:val="000000" w:themeColor="text1"/>
        </w:rPr>
      </w:pPr>
      <w:r w:rsidRPr="00B107A3">
        <w:rPr>
          <w:rStyle w:val="FootnoteReference"/>
          <w:color w:val="000000" w:themeColor="text1"/>
        </w:rPr>
        <w:footnoteRef/>
      </w:r>
      <w:r w:rsidRPr="00B107A3">
        <w:rPr>
          <w:color w:val="000000" w:themeColor="text1"/>
        </w:rPr>
        <w:t xml:space="preserve"> </w:t>
      </w:r>
      <w:r w:rsidRPr="00B107A3">
        <w:rPr>
          <w:color w:val="000000" w:themeColor="text1"/>
        </w:rPr>
        <w:t xml:space="preserve">Etymology of “feel,” Online Etymology Dictionary: </w:t>
      </w:r>
      <w:hyperlink r:id="rId88">
        <w:r w:rsidRPr="00B107A3">
          <w:rPr>
            <w:rStyle w:val="Hyperlink"/>
            <w:color w:val="000000" w:themeColor="text1"/>
            <w:u w:val="none"/>
          </w:rPr>
          <w:t>https://www.etymonline.com/word/feel.</w:t>
        </w:r>
      </w:hyperlink>
      <w:r w:rsidRPr="00B107A3">
        <w:rPr>
          <w:color w:val="000000" w:themeColor="text1"/>
        </w:rPr>
        <w:t xml:space="preserve"> Accessed April 5, 2021.</w:t>
      </w:r>
    </w:p>
  </w:footnote>
  <w:footnote w:id="252">
    <w:p w14:paraId="66DDDD66" w14:textId="7A457010" w:rsidR="00B107A3" w:rsidRPr="00B107A3" w:rsidRDefault="00B107A3">
      <w:pPr>
        <w:pStyle w:val="FootnoteText"/>
        <w:rPr>
          <w:color w:val="000000" w:themeColor="text1"/>
        </w:rPr>
      </w:pPr>
      <w:r w:rsidRPr="00B107A3">
        <w:rPr>
          <w:rStyle w:val="FootnoteReference"/>
          <w:color w:val="000000" w:themeColor="text1"/>
        </w:rPr>
        <w:footnoteRef/>
      </w:r>
      <w:r w:rsidRPr="00B107A3">
        <w:rPr>
          <w:color w:val="000000" w:themeColor="text1"/>
        </w:rPr>
        <w:t xml:space="preserve"> </w:t>
      </w:r>
      <w:r w:rsidRPr="00B107A3">
        <w:rPr>
          <w:color w:val="000000" w:themeColor="text1"/>
        </w:rPr>
        <w:t xml:space="preserve">Dilip V. Jeste, “On the State of Psychiatry,” </w:t>
      </w:r>
      <w:r w:rsidRPr="00B107A3">
        <w:rPr>
          <w:i/>
          <w:color w:val="000000" w:themeColor="text1"/>
        </w:rPr>
        <w:t xml:space="preserve">Current Psychiatry </w:t>
      </w:r>
      <w:r w:rsidRPr="00B107A3">
        <w:rPr>
          <w:color w:val="000000" w:themeColor="text1"/>
        </w:rPr>
        <w:t>vol. 19 (12) (December 19, 2020): 34-36; https://</w:t>
      </w:r>
      <w:hyperlink r:id="rId89" w:history="1">
        <w:r w:rsidRPr="00B107A3">
          <w:rPr>
            <w:rStyle w:val="Hyperlink"/>
            <w:color w:val="000000" w:themeColor="text1"/>
            <w:u w:val="none"/>
          </w:rPr>
          <w:t>www.mdedge.com/psychiatry/article/</w:t>
        </w:r>
      </w:hyperlink>
      <w:r w:rsidRPr="00B107A3">
        <w:rPr>
          <w:color w:val="000000" w:themeColor="text1"/>
        </w:rPr>
        <w:t xml:space="preserve"> 232726 /dilip-v-jeste-md-state-psychiatry/page/0/2. Accessed January 1,</w:t>
      </w:r>
      <w:r w:rsidRPr="00B107A3">
        <w:rPr>
          <w:color w:val="000000" w:themeColor="text1"/>
        </w:rPr>
        <w:t xml:space="preserve"> </w:t>
      </w:r>
      <w:r w:rsidRPr="00B107A3">
        <w:rPr>
          <w:color w:val="000000" w:themeColor="text1"/>
        </w:rPr>
        <w:t>2021.</w:t>
      </w:r>
    </w:p>
  </w:footnote>
  <w:footnote w:id="253">
    <w:p w14:paraId="4195A8D0" w14:textId="77777777" w:rsidR="00B107A3" w:rsidRPr="00B107A3" w:rsidRDefault="00B107A3" w:rsidP="00B107A3">
      <w:pPr>
        <w:pStyle w:val="FootnoteText"/>
      </w:pPr>
      <w:r>
        <w:rPr>
          <w:rStyle w:val="FootnoteReference"/>
        </w:rPr>
        <w:footnoteRef/>
      </w:r>
      <w:r>
        <w:t xml:space="preserve"> </w:t>
      </w:r>
      <w:r w:rsidRPr="00B107A3">
        <w:t xml:space="preserve">Sims, </w:t>
      </w:r>
      <w:r w:rsidRPr="00B107A3">
        <w:rPr>
          <w:i/>
        </w:rPr>
        <w:t>Is Faith Delusion</w:t>
      </w:r>
      <w:r w:rsidRPr="00B107A3">
        <w:t>, preface xi.</w:t>
      </w:r>
    </w:p>
    <w:p w14:paraId="2F732386" w14:textId="257A1A5E" w:rsidR="00B107A3" w:rsidRDefault="00B107A3">
      <w:pPr>
        <w:pStyle w:val="FootnoteText"/>
      </w:pPr>
    </w:p>
  </w:footnote>
  <w:footnote w:id="254">
    <w:p w14:paraId="5172CC94" w14:textId="139D0AA7" w:rsidR="00B107A3" w:rsidRDefault="00B107A3">
      <w:pPr>
        <w:pStyle w:val="FootnoteText"/>
      </w:pPr>
      <w:r>
        <w:rPr>
          <w:rStyle w:val="FootnoteReference"/>
        </w:rPr>
        <w:footnoteRef/>
      </w:r>
      <w:r>
        <w:t xml:space="preserve"> </w:t>
      </w:r>
      <w:r w:rsidRPr="00B107A3">
        <w:t xml:space="preserve">See Daniel R. Berger II, </w:t>
      </w:r>
      <w:r w:rsidRPr="00B107A3">
        <w:rPr>
          <w:i/>
        </w:rPr>
        <w:t xml:space="preserve">The Chemical Imbalance Delusion </w:t>
      </w:r>
      <w:r w:rsidRPr="00B107A3">
        <w:t>(Taylors, SC: Alethia International Publications, 2019).</w:t>
      </w:r>
    </w:p>
  </w:footnote>
  <w:footnote w:id="255">
    <w:p w14:paraId="1994681B" w14:textId="77777777" w:rsidR="00B107A3" w:rsidRPr="00B107A3" w:rsidRDefault="00B107A3" w:rsidP="00B107A3">
      <w:pPr>
        <w:pStyle w:val="FootnoteText"/>
      </w:pPr>
      <w:r>
        <w:rPr>
          <w:rStyle w:val="FootnoteReference"/>
        </w:rPr>
        <w:footnoteRef/>
      </w:r>
      <w:r>
        <w:t xml:space="preserve"> </w:t>
      </w:r>
      <w:r w:rsidRPr="00B107A3">
        <w:t xml:space="preserve">Lieberman, </w:t>
      </w:r>
      <w:r w:rsidRPr="00B107A3">
        <w:rPr>
          <w:i/>
        </w:rPr>
        <w:t xml:space="preserve">Shrinks, </w:t>
      </w:r>
      <w:r w:rsidRPr="00B107A3">
        <w:t>24.</w:t>
      </w:r>
    </w:p>
    <w:p w14:paraId="25C4C7C0" w14:textId="6D6A97EA" w:rsidR="00B107A3" w:rsidRDefault="00B107A3">
      <w:pPr>
        <w:pStyle w:val="FootnoteText"/>
      </w:pPr>
    </w:p>
  </w:footnote>
  <w:footnote w:id="256">
    <w:p w14:paraId="54C820DE" w14:textId="0290B7A3" w:rsidR="00B107A3" w:rsidRDefault="00B107A3">
      <w:pPr>
        <w:pStyle w:val="FootnoteText"/>
      </w:pPr>
      <w:r>
        <w:rPr>
          <w:rStyle w:val="FootnoteReference"/>
        </w:rPr>
        <w:footnoteRef/>
      </w:r>
      <w:r>
        <w:t xml:space="preserve"> </w:t>
      </w:r>
      <w:r w:rsidRPr="00B107A3">
        <w:t xml:space="preserve">Elliot Valenstein, </w:t>
      </w:r>
      <w:r w:rsidRPr="00B107A3">
        <w:rPr>
          <w:i/>
        </w:rPr>
        <w:t xml:space="preserve">Blaming the Brain: The Truth about Drugs and Mental Health </w:t>
      </w:r>
      <w:r w:rsidRPr="00B107A3">
        <w:t>(New York: Basic Books, 1998), 5.</w:t>
      </w:r>
    </w:p>
  </w:footnote>
  <w:footnote w:id="257">
    <w:p w14:paraId="551CD917" w14:textId="114DB441" w:rsidR="00B107A3" w:rsidRDefault="00B107A3">
      <w:pPr>
        <w:pStyle w:val="FootnoteText"/>
      </w:pPr>
      <w:r>
        <w:rPr>
          <w:rStyle w:val="FootnoteReference"/>
        </w:rPr>
        <w:footnoteRef/>
      </w:r>
      <w:r>
        <w:t xml:space="preserve"> </w:t>
      </w:r>
      <w:r w:rsidRPr="00B107A3">
        <w:t xml:space="preserve">Panksepp, </w:t>
      </w:r>
      <w:r w:rsidRPr="00B107A3">
        <w:rPr>
          <w:i/>
        </w:rPr>
        <w:t>Textbook of Biological Psychiatry</w:t>
      </w:r>
      <w:r w:rsidRPr="00B107A3">
        <w:t>, preface xv.</w:t>
      </w:r>
    </w:p>
  </w:footnote>
  <w:footnote w:id="258">
    <w:p w14:paraId="7C39E6A3" w14:textId="23D8976A" w:rsidR="00B107A3" w:rsidRDefault="00B107A3">
      <w:pPr>
        <w:pStyle w:val="FootnoteText"/>
      </w:pPr>
      <w:r>
        <w:rPr>
          <w:rStyle w:val="FootnoteReference"/>
        </w:rPr>
        <w:footnoteRef/>
      </w:r>
      <w:r>
        <w:t xml:space="preserve"> </w:t>
      </w:r>
      <w:r w:rsidRPr="00B107A3">
        <w:t xml:space="preserve">Peter Breggin, “Psychiatry’s Role in the Holocaust,” </w:t>
      </w:r>
      <w:r w:rsidRPr="00B107A3">
        <w:rPr>
          <w:i/>
        </w:rPr>
        <w:t xml:space="preserve">International Journal of Risk and Safety in Medicine </w:t>
      </w:r>
      <w:r w:rsidRPr="00B107A3">
        <w:t>4 (1993): 147.</w:t>
      </w:r>
    </w:p>
  </w:footnote>
  <w:footnote w:id="259">
    <w:p w14:paraId="28771769" w14:textId="77777777" w:rsidR="00B107A3" w:rsidRPr="00B107A3" w:rsidRDefault="00B107A3" w:rsidP="00B107A3">
      <w:pPr>
        <w:pStyle w:val="FootnoteText"/>
        <w:rPr>
          <w:i/>
        </w:rPr>
      </w:pPr>
      <w:r>
        <w:rPr>
          <w:rStyle w:val="FootnoteReference"/>
        </w:rPr>
        <w:footnoteRef/>
      </w:r>
      <w:r>
        <w:t xml:space="preserve"> </w:t>
      </w:r>
      <w:r w:rsidRPr="00B107A3">
        <w:t xml:space="preserve">For further study on how the Medical Model is the psychiatric eugenic theory, see Berger, </w:t>
      </w:r>
      <w:r w:rsidRPr="00B107A3">
        <w:rPr>
          <w:i/>
        </w:rPr>
        <w:t>Saving Abnormal.</w:t>
      </w:r>
    </w:p>
    <w:p w14:paraId="63D105E1" w14:textId="7BC9D6E8" w:rsidR="00B107A3" w:rsidRDefault="00B107A3">
      <w:pPr>
        <w:pStyle w:val="FootnoteText"/>
      </w:pPr>
    </w:p>
  </w:footnote>
  <w:footnote w:id="260">
    <w:p w14:paraId="1A9736D6" w14:textId="3E3ED235" w:rsidR="00B107A3" w:rsidRPr="00B107A3" w:rsidRDefault="00B107A3">
      <w:pPr>
        <w:pStyle w:val="FootnoteText"/>
        <w:rPr>
          <w:color w:val="000000" w:themeColor="text1"/>
        </w:rPr>
      </w:pPr>
      <w:r>
        <w:rPr>
          <w:rStyle w:val="FootnoteReference"/>
        </w:rPr>
        <w:footnoteRef/>
      </w:r>
      <w:r>
        <w:t xml:space="preserve"> </w:t>
      </w:r>
      <w:r w:rsidRPr="00B107A3">
        <w:t xml:space="preserve">U. Müller, P.C. Fletcher, H. Steinberg, “The Origin of Pharmacopsychology: Emil Kraepelin’s Experiments in </w:t>
      </w:r>
      <w:r w:rsidRPr="00B107A3">
        <w:rPr>
          <w:color w:val="000000" w:themeColor="text1"/>
        </w:rPr>
        <w:t xml:space="preserve">Leipzig, Dorpat and Heidelberg (1882-1892),” </w:t>
      </w:r>
      <w:r w:rsidRPr="00B107A3">
        <w:rPr>
          <w:i/>
          <w:color w:val="000000" w:themeColor="text1"/>
        </w:rPr>
        <w:t xml:space="preserve">Psychopharmacology </w:t>
      </w:r>
      <w:r w:rsidRPr="00B107A3">
        <w:rPr>
          <w:color w:val="000000" w:themeColor="text1"/>
        </w:rPr>
        <w:t>(Berl) 184 (2) (January 2006): 131-138. DOI:</w:t>
      </w:r>
      <w:r w:rsidRPr="00B107A3">
        <w:rPr>
          <w:color w:val="000000" w:themeColor="text1"/>
        </w:rPr>
        <w:t xml:space="preserve"> </w:t>
      </w:r>
      <w:r w:rsidRPr="00B107A3">
        <w:rPr>
          <w:color w:val="000000" w:themeColor="text1"/>
        </w:rPr>
        <w:t>10.1007/s00213-005-0239-5. Accessed March 5, 2021.</w:t>
      </w:r>
    </w:p>
  </w:footnote>
  <w:footnote w:id="261">
    <w:p w14:paraId="797D671B" w14:textId="7926F72B" w:rsidR="00B107A3" w:rsidRPr="00F505E9" w:rsidRDefault="00B107A3">
      <w:pPr>
        <w:pStyle w:val="FootnoteText"/>
        <w:rPr>
          <w:color w:val="000000" w:themeColor="text1"/>
        </w:rPr>
      </w:pPr>
      <w:r w:rsidRPr="00B107A3">
        <w:rPr>
          <w:rStyle w:val="FootnoteReference"/>
          <w:color w:val="000000" w:themeColor="text1"/>
        </w:rPr>
        <w:footnoteRef/>
      </w:r>
      <w:r w:rsidRPr="00B107A3">
        <w:rPr>
          <w:color w:val="000000" w:themeColor="text1"/>
        </w:rPr>
        <w:t xml:space="preserve"> </w:t>
      </w:r>
      <w:r w:rsidRPr="00B107A3">
        <w:rPr>
          <w:color w:val="000000" w:themeColor="text1"/>
        </w:rPr>
        <w:t xml:space="preserve">Sharon Packer, “Demons, Dybbuks, and Other Psychic Maladies,” </w:t>
      </w:r>
      <w:r w:rsidRPr="00B107A3">
        <w:rPr>
          <w:i/>
          <w:color w:val="000000" w:themeColor="text1"/>
        </w:rPr>
        <w:t xml:space="preserve">The Psychiatric Times </w:t>
      </w:r>
      <w:r w:rsidRPr="00B107A3">
        <w:rPr>
          <w:color w:val="000000" w:themeColor="text1"/>
        </w:rPr>
        <w:t xml:space="preserve">(February 22, 2021): </w:t>
      </w:r>
      <w:hyperlink r:id="rId90">
        <w:r w:rsidRPr="00B107A3">
          <w:rPr>
            <w:rStyle w:val="Hyperlink"/>
            <w:color w:val="000000" w:themeColor="text1"/>
            <w:u w:val="none"/>
          </w:rPr>
          <w:t>https://www.psychiatrictimes.com/view/demons-dybbuks-and-other-psychic-maladies?utm_source=sfmc&amp;utm_</w:t>
        </w:r>
      </w:hyperlink>
      <w:r w:rsidRPr="00B107A3">
        <w:rPr>
          <w:color w:val="000000" w:themeColor="text1"/>
        </w:rPr>
        <w:t>medium=email&amp;utm_campaign=03_06_2021%20PT_Unsponsored&amp;eKey=ZHJiZXJnZXIuZHJAZ21haWwuY29t.   Accessed March 6, 2021.</w:t>
      </w:r>
    </w:p>
  </w:footnote>
  <w:footnote w:id="262">
    <w:p w14:paraId="5E41ED13" w14:textId="77777777" w:rsidR="00F505E9" w:rsidRPr="00F505E9" w:rsidRDefault="00F505E9" w:rsidP="00F505E9">
      <w:pPr>
        <w:pStyle w:val="FootnoteText"/>
      </w:pPr>
      <w:r>
        <w:rPr>
          <w:rStyle w:val="FootnoteReference"/>
        </w:rPr>
        <w:footnoteRef/>
      </w:r>
      <w:r>
        <w:t xml:space="preserve"> </w:t>
      </w:r>
      <w:r w:rsidRPr="00F505E9">
        <w:t xml:space="preserve">Andreas Ebert, and Karl-Jürgen Bär. “Emil Kraepelin: A Pioneer of Scientific Understanding of Psychiatry and Psychopharmacology,” </w:t>
      </w:r>
      <w:r w:rsidRPr="00F505E9">
        <w:rPr>
          <w:i/>
        </w:rPr>
        <w:t xml:space="preserve">Indian Journal of Psychiatry </w:t>
      </w:r>
      <w:r w:rsidRPr="00F505E9">
        <w:t>vol. 52 (2) (2010): 191-192. doi:10.4103/0019-5545.64591.</w:t>
      </w:r>
    </w:p>
    <w:p w14:paraId="2E2420E4" w14:textId="2230D5C9" w:rsidR="00F505E9" w:rsidRDefault="00F505E9">
      <w:pPr>
        <w:pStyle w:val="FootnoteText"/>
      </w:pPr>
    </w:p>
  </w:footnote>
  <w:footnote w:id="263">
    <w:p w14:paraId="3E31D462" w14:textId="0933FD63" w:rsidR="0025710A" w:rsidRPr="0072388D" w:rsidRDefault="0025710A">
      <w:pPr>
        <w:pStyle w:val="FootnoteText"/>
        <w:rPr>
          <w:color w:val="000000" w:themeColor="text1"/>
        </w:rPr>
      </w:pPr>
      <w:r>
        <w:rPr>
          <w:rStyle w:val="FootnoteReference"/>
        </w:rPr>
        <w:footnoteRef/>
      </w:r>
      <w:r>
        <w:t xml:space="preserve"> </w:t>
      </w:r>
      <w:r w:rsidRPr="0025710A">
        <w:t xml:space="preserve">Nassir S. Ghaemi, “Nosologomania: DSM &amp; Karl Jaspers’ critique of Kraepelin.” </w:t>
      </w:r>
      <w:r w:rsidRPr="0025710A">
        <w:rPr>
          <w:i/>
        </w:rPr>
        <w:t xml:space="preserve">Philosophy, Ethics, and </w:t>
      </w:r>
      <w:r w:rsidRPr="0072388D">
        <w:rPr>
          <w:i/>
          <w:color w:val="000000" w:themeColor="text1"/>
        </w:rPr>
        <w:t xml:space="preserve">Humanities in Medicine </w:t>
      </w:r>
      <w:r w:rsidRPr="0072388D">
        <w:rPr>
          <w:color w:val="000000" w:themeColor="text1"/>
        </w:rPr>
        <w:t>(PEHM) vol. 4 (10) (July 23, 2009). DOI: 10.1186/1747-5341-4-10.</w:t>
      </w:r>
    </w:p>
  </w:footnote>
  <w:footnote w:id="264">
    <w:p w14:paraId="7D220F75" w14:textId="34DA08BA" w:rsidR="0025710A" w:rsidRPr="0072388D" w:rsidRDefault="0025710A">
      <w:pPr>
        <w:pStyle w:val="FootnoteText"/>
        <w:rPr>
          <w:color w:val="000000" w:themeColor="text1"/>
        </w:rPr>
      </w:pPr>
      <w:r w:rsidRPr="0072388D">
        <w:rPr>
          <w:rStyle w:val="FootnoteReference"/>
          <w:color w:val="000000" w:themeColor="text1"/>
        </w:rPr>
        <w:footnoteRef/>
      </w:r>
      <w:r w:rsidRPr="0072388D">
        <w:rPr>
          <w:color w:val="000000" w:themeColor="text1"/>
        </w:rPr>
        <w:t xml:space="preserve"> </w:t>
      </w:r>
      <w:r w:rsidRPr="0072388D">
        <w:rPr>
          <w:color w:val="000000" w:themeColor="text1"/>
        </w:rPr>
        <w:t>Aftab, “Psychiatry and the Shores of Social Construction.”</w:t>
      </w:r>
    </w:p>
  </w:footnote>
  <w:footnote w:id="265">
    <w:p w14:paraId="10BECCBF" w14:textId="77777777" w:rsidR="0072388D" w:rsidRPr="0072388D" w:rsidRDefault="0072388D" w:rsidP="0072388D">
      <w:pPr>
        <w:pStyle w:val="FootnoteText"/>
        <w:rPr>
          <w:color w:val="000000" w:themeColor="text1"/>
        </w:rPr>
      </w:pPr>
      <w:r w:rsidRPr="0072388D">
        <w:rPr>
          <w:rStyle w:val="FootnoteReference"/>
          <w:color w:val="000000" w:themeColor="text1"/>
        </w:rPr>
        <w:footnoteRef/>
      </w:r>
      <w:r w:rsidRPr="0072388D">
        <w:rPr>
          <w:color w:val="000000" w:themeColor="text1"/>
        </w:rPr>
        <w:t xml:space="preserve"> </w:t>
      </w:r>
      <w:r w:rsidRPr="0072388D">
        <w:rPr>
          <w:color w:val="000000" w:themeColor="text1"/>
        </w:rPr>
        <w:t xml:space="preserve">Pauline Anderson, “‘Landmark’ Schizophrenia Drug in the Wings?” </w:t>
      </w:r>
      <w:r w:rsidRPr="0072388D">
        <w:rPr>
          <w:i/>
          <w:color w:val="000000" w:themeColor="text1"/>
        </w:rPr>
        <w:t xml:space="preserve">Medscape Psychiatry </w:t>
      </w:r>
      <w:r w:rsidRPr="0072388D">
        <w:rPr>
          <w:color w:val="000000" w:themeColor="text1"/>
        </w:rPr>
        <w:t xml:space="preserve">(March 2,  2021):  </w:t>
      </w:r>
      <w:hyperlink r:id="rId91">
        <w:r w:rsidRPr="0072388D">
          <w:rPr>
            <w:rStyle w:val="Hyperlink"/>
            <w:color w:val="000000" w:themeColor="text1"/>
            <w:u w:val="none"/>
          </w:rPr>
          <w:t>https://www.medscape.com/viewarticle/946727?src=WNL_mdpls_210305_mscpedit_</w:t>
        </w:r>
      </w:hyperlink>
    </w:p>
    <w:p w14:paraId="02C16A5F" w14:textId="77777777" w:rsidR="0072388D" w:rsidRPr="0072388D" w:rsidRDefault="0072388D" w:rsidP="0072388D">
      <w:pPr>
        <w:pStyle w:val="FootnoteText"/>
        <w:rPr>
          <w:color w:val="000000" w:themeColor="text1"/>
        </w:rPr>
      </w:pPr>
      <w:r w:rsidRPr="0072388D">
        <w:rPr>
          <w:color w:val="000000" w:themeColor="text1"/>
        </w:rPr>
        <w:t>psych&amp;uac=264124BV&amp;spon=12&amp;impID=3230408&amp;faf=1. Accessed March 14, 2021.</w:t>
      </w:r>
    </w:p>
    <w:p w14:paraId="54745CA2" w14:textId="511A6DB7" w:rsidR="0072388D" w:rsidRDefault="0072388D">
      <w:pPr>
        <w:pStyle w:val="FootnoteText"/>
      </w:pPr>
    </w:p>
  </w:footnote>
  <w:footnote w:id="266">
    <w:p w14:paraId="538DBC3E" w14:textId="1D6BC997" w:rsidR="00FC044A" w:rsidRPr="00FC044A" w:rsidRDefault="00FC044A">
      <w:pPr>
        <w:pStyle w:val="FootnoteText"/>
        <w:rPr>
          <w:color w:val="000000" w:themeColor="text1"/>
        </w:rPr>
      </w:pPr>
      <w:r w:rsidRPr="00FC044A">
        <w:rPr>
          <w:rStyle w:val="FootnoteReference"/>
          <w:color w:val="000000" w:themeColor="text1"/>
        </w:rPr>
        <w:footnoteRef/>
      </w:r>
      <w:r w:rsidRPr="00FC044A">
        <w:rPr>
          <w:color w:val="000000" w:themeColor="text1"/>
        </w:rPr>
        <w:t xml:space="preserve"> </w:t>
      </w:r>
      <w:r w:rsidRPr="00FC044A">
        <w:rPr>
          <w:color w:val="000000" w:themeColor="text1"/>
        </w:rPr>
        <w:t>Fava, “Psychiatry’s Intellectual Crisis.”</w:t>
      </w:r>
    </w:p>
  </w:footnote>
  <w:footnote w:id="267">
    <w:p w14:paraId="3D9D3177" w14:textId="176EE218" w:rsidR="00FC044A" w:rsidRPr="00FC044A" w:rsidRDefault="00FC044A">
      <w:pPr>
        <w:pStyle w:val="FootnoteText"/>
        <w:rPr>
          <w:color w:val="000000" w:themeColor="text1"/>
        </w:rPr>
      </w:pPr>
      <w:r w:rsidRPr="00FC044A">
        <w:rPr>
          <w:rStyle w:val="FootnoteReference"/>
          <w:color w:val="000000" w:themeColor="text1"/>
        </w:rPr>
        <w:footnoteRef/>
      </w:r>
      <w:r w:rsidRPr="00FC044A">
        <w:rPr>
          <w:color w:val="000000" w:themeColor="text1"/>
        </w:rPr>
        <w:t xml:space="preserve"> </w:t>
      </w:r>
      <w:r w:rsidRPr="00FC044A">
        <w:rPr>
          <w:color w:val="000000" w:themeColor="text1"/>
        </w:rPr>
        <w:t xml:space="preserve">Antonio Vita, Luca De Peri, Giacomo Deste, Stefano Barlati, and Emilio Sacchetti, “The Effect of Antipsychotic Treatment on Cortical Gray Matter Changes in Schizophrenia: Does the Class Matter: A Meta-Analysis and Meta-Regression of Longitudinal Magnetic Resonance Imaging Studies,” </w:t>
      </w:r>
      <w:r w:rsidRPr="00FC044A">
        <w:rPr>
          <w:i/>
          <w:color w:val="000000" w:themeColor="text1"/>
        </w:rPr>
        <w:t xml:space="preserve">Biological Psychiatry </w:t>
      </w:r>
      <w:r w:rsidRPr="00FC044A">
        <w:rPr>
          <w:color w:val="000000" w:themeColor="text1"/>
        </w:rPr>
        <w:t xml:space="preserve">vol. 78 (6) (September 15, 2015): 403-412; </w:t>
      </w:r>
      <w:hyperlink r:id="rId92">
        <w:r w:rsidRPr="00FC044A">
          <w:rPr>
            <w:rStyle w:val="Hyperlink"/>
            <w:color w:val="000000" w:themeColor="text1"/>
            <w:u w:val="none"/>
          </w:rPr>
          <w:t>http://dx.doi.org</w:t>
        </w:r>
      </w:hyperlink>
      <w:r w:rsidRPr="00FC044A">
        <w:rPr>
          <w:color w:val="000000" w:themeColor="text1"/>
        </w:rPr>
        <w:t xml:space="preserve"> /10.1016/j.bio psych.2015.02.008. Accessed March 18, 2021.</w:t>
      </w:r>
    </w:p>
  </w:footnote>
  <w:footnote w:id="268">
    <w:p w14:paraId="2EBA1996" w14:textId="77777777" w:rsidR="00FC044A" w:rsidRPr="00FC044A" w:rsidRDefault="00FC044A" w:rsidP="00FC044A">
      <w:pPr>
        <w:pStyle w:val="FootnoteText"/>
      </w:pPr>
      <w:r>
        <w:rPr>
          <w:rStyle w:val="FootnoteReference"/>
        </w:rPr>
        <w:footnoteRef/>
      </w:r>
      <w:r>
        <w:t xml:space="preserve"> </w:t>
      </w:r>
      <w:r w:rsidRPr="00FC044A">
        <w:t>Aftab and Sharma, “How Not to Think about Biomarkers in Psychiatry”</w:t>
      </w:r>
    </w:p>
    <w:p w14:paraId="2B79DBE9" w14:textId="34744D29" w:rsidR="00FC044A" w:rsidRDefault="00FC044A">
      <w:pPr>
        <w:pStyle w:val="FootnoteText"/>
      </w:pPr>
    </w:p>
  </w:footnote>
  <w:footnote w:id="269">
    <w:p w14:paraId="3F93B944" w14:textId="237B87BC" w:rsidR="00FC044A" w:rsidRPr="00FC044A" w:rsidRDefault="00FC044A">
      <w:pPr>
        <w:pStyle w:val="FootnoteText"/>
        <w:rPr>
          <w:color w:val="000000" w:themeColor="text1"/>
        </w:rPr>
      </w:pPr>
      <w:r w:rsidRPr="00FC044A">
        <w:rPr>
          <w:rStyle w:val="FootnoteReference"/>
          <w:color w:val="000000" w:themeColor="text1"/>
        </w:rPr>
        <w:footnoteRef/>
      </w:r>
      <w:r w:rsidRPr="00FC044A">
        <w:rPr>
          <w:color w:val="000000" w:themeColor="text1"/>
        </w:rPr>
        <w:t xml:space="preserve"> </w:t>
      </w:r>
      <w:r w:rsidRPr="00FC044A">
        <w:rPr>
          <w:color w:val="000000" w:themeColor="text1"/>
        </w:rPr>
        <w:t xml:space="preserve">Joshi B. Yash and Michael L. Thomas, et. al., “Anticholinergic Medication Burden—Associated Cognitive Impairment in Schizophrenia,” </w:t>
      </w:r>
      <w:r w:rsidRPr="00FC044A">
        <w:rPr>
          <w:i/>
          <w:color w:val="000000" w:themeColor="text1"/>
        </w:rPr>
        <w:t xml:space="preserve">The American Journal of Psychiatry </w:t>
      </w:r>
      <w:r w:rsidRPr="00FC044A">
        <w:rPr>
          <w:color w:val="000000" w:themeColor="text1"/>
        </w:rPr>
        <w:t xml:space="preserve">(May 14, 2021): </w:t>
      </w:r>
      <w:hyperlink r:id="rId93">
        <w:r w:rsidRPr="00FC044A">
          <w:rPr>
            <w:rStyle w:val="Hyperlink"/>
            <w:color w:val="000000" w:themeColor="text1"/>
            <w:u w:val="none"/>
          </w:rPr>
          <w:t>https://doi.org/10.1176/appi.</w:t>
        </w:r>
      </w:hyperlink>
      <w:r w:rsidRPr="00FC044A">
        <w:rPr>
          <w:color w:val="000000" w:themeColor="text1"/>
        </w:rPr>
        <w:t xml:space="preserve"> ajp.2020.20081212. Accessed June 2, 2021.</w:t>
      </w:r>
    </w:p>
  </w:footnote>
  <w:footnote w:id="270">
    <w:p w14:paraId="09ECD49F" w14:textId="77777777" w:rsidR="00FC044A" w:rsidRPr="00FC044A" w:rsidRDefault="00FC044A" w:rsidP="00FC044A">
      <w:pPr>
        <w:pStyle w:val="FootnoteText"/>
        <w:rPr>
          <w:color w:val="000000" w:themeColor="text1"/>
        </w:rPr>
      </w:pPr>
      <w:r w:rsidRPr="00FC044A">
        <w:rPr>
          <w:rStyle w:val="FootnoteReference"/>
          <w:color w:val="000000" w:themeColor="text1"/>
        </w:rPr>
        <w:footnoteRef/>
      </w:r>
      <w:r w:rsidRPr="00FC044A">
        <w:rPr>
          <w:color w:val="000000" w:themeColor="text1"/>
        </w:rPr>
        <w:t xml:space="preserve"> </w:t>
      </w:r>
      <w:r w:rsidRPr="00FC044A">
        <w:rPr>
          <w:color w:val="000000" w:themeColor="text1"/>
        </w:rPr>
        <w:t xml:space="preserve">Glen I. Spielmans, Tess Spence-Sing, and Peter Parry, edited by Michael P. Hengartner, Maurizio Pompili, and Sami Timimi, “Duty to Warn: Antidepressant Black Box Suicidality Warning is Empirically Justified,” </w:t>
      </w:r>
      <w:r w:rsidRPr="00FC044A">
        <w:rPr>
          <w:i/>
          <w:color w:val="000000" w:themeColor="text1"/>
        </w:rPr>
        <w:t xml:space="preserve">Frontiers in Psychiatry </w:t>
      </w:r>
      <w:r w:rsidRPr="00FC044A">
        <w:rPr>
          <w:color w:val="000000" w:themeColor="text1"/>
        </w:rPr>
        <w:t xml:space="preserve">(February 13, 2020): </w:t>
      </w:r>
      <w:hyperlink r:id="rId94">
        <w:r w:rsidRPr="00FC044A">
          <w:rPr>
            <w:rStyle w:val="Hyperlink"/>
            <w:color w:val="000000" w:themeColor="text1"/>
            <w:u w:val="none"/>
          </w:rPr>
          <w:t>https://doi.org/10.3389/fpsyt.2020.</w:t>
        </w:r>
      </w:hyperlink>
      <w:r w:rsidRPr="00FC044A">
        <w:rPr>
          <w:color w:val="000000" w:themeColor="text1"/>
        </w:rPr>
        <w:t xml:space="preserve"> 00018. Accessed March 4, 2021.</w:t>
      </w:r>
    </w:p>
    <w:p w14:paraId="3ED8B785" w14:textId="5DA57F19" w:rsidR="00FC044A" w:rsidRDefault="00FC044A">
      <w:pPr>
        <w:pStyle w:val="FootnoteText"/>
      </w:pPr>
    </w:p>
  </w:footnote>
  <w:footnote w:id="271">
    <w:p w14:paraId="16F1ED5A" w14:textId="77777777" w:rsidR="00FC044A" w:rsidRPr="00FC044A" w:rsidRDefault="00FC044A" w:rsidP="00FC044A">
      <w:pPr>
        <w:pStyle w:val="FootnoteText"/>
      </w:pPr>
      <w:r>
        <w:rPr>
          <w:rStyle w:val="FootnoteReference"/>
        </w:rPr>
        <w:footnoteRef/>
      </w:r>
      <w:r>
        <w:t xml:space="preserve"> </w:t>
      </w:r>
      <w:r w:rsidRPr="00FC044A">
        <w:t>Tamimi, “Psychiatry and the Shores of Social Construction.”</w:t>
      </w:r>
    </w:p>
    <w:p w14:paraId="557F3FDB" w14:textId="5A2B55D5" w:rsidR="00FC044A" w:rsidRDefault="00FC044A">
      <w:pPr>
        <w:pStyle w:val="FootnoteText"/>
      </w:pPr>
    </w:p>
  </w:footnote>
  <w:footnote w:id="272">
    <w:p w14:paraId="6EC5A224" w14:textId="77777777" w:rsidR="00FC044A" w:rsidRPr="00FC044A" w:rsidRDefault="00FC044A" w:rsidP="00FC044A">
      <w:pPr>
        <w:pStyle w:val="FootnoteText"/>
      </w:pPr>
      <w:r>
        <w:rPr>
          <w:rStyle w:val="FootnoteReference"/>
        </w:rPr>
        <w:footnoteRef/>
      </w:r>
      <w:r>
        <w:t xml:space="preserve"> </w:t>
      </w:r>
      <w:r w:rsidRPr="00FC044A">
        <w:t>Pūras, “Global Psychiatry’s Crisis of Values: Dainius Pūras, MD.”</w:t>
      </w:r>
    </w:p>
    <w:p w14:paraId="681BF176" w14:textId="2EEA328B" w:rsidR="00FC044A" w:rsidRDefault="00FC044A">
      <w:pPr>
        <w:pStyle w:val="FootnoteText"/>
      </w:pPr>
    </w:p>
  </w:footnote>
  <w:footnote w:id="273">
    <w:p w14:paraId="38D38FD9" w14:textId="77777777" w:rsidR="00FC044A" w:rsidRPr="00FC044A" w:rsidRDefault="00FC044A" w:rsidP="00FC044A">
      <w:pPr>
        <w:pStyle w:val="FootnoteText"/>
        <w:rPr>
          <w:color w:val="000000" w:themeColor="text1"/>
        </w:rPr>
      </w:pPr>
      <w:r w:rsidRPr="00FC044A">
        <w:rPr>
          <w:rStyle w:val="FootnoteReference"/>
          <w:color w:val="000000" w:themeColor="text1"/>
        </w:rPr>
        <w:footnoteRef/>
      </w:r>
      <w:r w:rsidRPr="00FC044A">
        <w:rPr>
          <w:color w:val="000000" w:themeColor="text1"/>
        </w:rPr>
        <w:t xml:space="preserve"> </w:t>
      </w:r>
      <w:r w:rsidRPr="00FC044A">
        <w:rPr>
          <w:color w:val="000000" w:themeColor="text1"/>
        </w:rPr>
        <w:t>Emil Kraepelin, Die Erscheinungsformen des Irreseins (</w:t>
      </w:r>
      <w:r w:rsidRPr="00FC044A">
        <w:rPr>
          <w:i/>
          <w:color w:val="000000" w:themeColor="text1"/>
        </w:rPr>
        <w:t>The Manifestations of Insanity</w:t>
      </w:r>
      <w:r w:rsidRPr="00FC044A">
        <w:rPr>
          <w:color w:val="000000" w:themeColor="text1"/>
        </w:rPr>
        <w:t xml:space="preserve">; 1920), </w:t>
      </w:r>
      <w:r w:rsidRPr="00FC044A">
        <w:rPr>
          <w:i/>
          <w:color w:val="000000" w:themeColor="text1"/>
        </w:rPr>
        <w:t>History of Psychiatry</w:t>
      </w:r>
      <w:r w:rsidRPr="00FC044A">
        <w:rPr>
          <w:color w:val="000000" w:themeColor="text1"/>
        </w:rPr>
        <w:t xml:space="preserve">, vol. 3 (December 1, 1992), 509–529. </w:t>
      </w:r>
      <w:hyperlink r:id="rId95">
        <w:r w:rsidRPr="00FC044A">
          <w:rPr>
            <w:rStyle w:val="Hyperlink"/>
            <w:color w:val="000000" w:themeColor="text1"/>
            <w:u w:val="none"/>
          </w:rPr>
          <w:t>https://doi.org/10.1177%2F0957154X9200301208.</w:t>
        </w:r>
      </w:hyperlink>
    </w:p>
    <w:p w14:paraId="11007D0E" w14:textId="2742502D" w:rsidR="00FC044A" w:rsidRDefault="00FC044A">
      <w:pPr>
        <w:pStyle w:val="FootnoteText"/>
      </w:pPr>
    </w:p>
  </w:footnote>
  <w:footnote w:id="274">
    <w:p w14:paraId="68D4CEFB" w14:textId="77777777" w:rsidR="001233CF" w:rsidRPr="001233CF" w:rsidRDefault="001233CF" w:rsidP="001233CF">
      <w:pPr>
        <w:pStyle w:val="FootnoteText"/>
        <w:rPr>
          <w:color w:val="000000" w:themeColor="text1"/>
        </w:rPr>
      </w:pPr>
      <w:r>
        <w:rPr>
          <w:rStyle w:val="FootnoteReference"/>
        </w:rPr>
        <w:footnoteRef/>
      </w:r>
      <w:r>
        <w:t xml:space="preserve"> </w:t>
      </w:r>
      <w:r w:rsidRPr="001233CF">
        <w:t xml:space="preserve">“Mental Health Conditions,” National Alliance on Mental Health, accessed June 7, 2021, </w:t>
      </w:r>
      <w:hyperlink r:id="rId96">
        <w:r w:rsidRPr="001233CF">
          <w:rPr>
            <w:rStyle w:val="Hyperlink"/>
            <w:color w:val="000000" w:themeColor="text1"/>
            <w:u w:val="none"/>
          </w:rPr>
          <w:t>https://www.nami.org/</w:t>
        </w:r>
      </w:hyperlink>
      <w:r w:rsidRPr="001233CF">
        <w:rPr>
          <w:color w:val="000000" w:themeColor="text1"/>
        </w:rPr>
        <w:t xml:space="preserve"> About-Mental-Illness/Mental-Health-Conditions.</w:t>
      </w:r>
    </w:p>
    <w:p w14:paraId="28294BAD" w14:textId="4715508B" w:rsidR="001233CF" w:rsidRDefault="001233CF">
      <w:pPr>
        <w:pStyle w:val="FootnoteText"/>
      </w:pPr>
    </w:p>
  </w:footnote>
  <w:footnote w:id="275">
    <w:p w14:paraId="363075A1" w14:textId="57EA5F52" w:rsidR="001233CF" w:rsidRPr="001233CF" w:rsidRDefault="001233CF">
      <w:pPr>
        <w:pStyle w:val="FootnoteText"/>
        <w:rPr>
          <w:color w:val="000000" w:themeColor="text1"/>
        </w:rPr>
      </w:pPr>
      <w:r w:rsidRPr="001233CF">
        <w:rPr>
          <w:rStyle w:val="FootnoteReference"/>
          <w:color w:val="000000" w:themeColor="text1"/>
        </w:rPr>
        <w:footnoteRef/>
      </w:r>
      <w:r w:rsidRPr="001233CF">
        <w:rPr>
          <w:color w:val="000000" w:themeColor="text1"/>
        </w:rPr>
        <w:t xml:space="preserve"> </w:t>
      </w:r>
      <w:r w:rsidRPr="001233CF">
        <w:rPr>
          <w:rFonts w:ascii="Times New Roman"/>
          <w:color w:val="000000" w:themeColor="text1"/>
        </w:rPr>
        <w:t>Columbia</w:t>
      </w:r>
      <w:r w:rsidRPr="001233CF">
        <w:rPr>
          <w:rFonts w:ascii="Times New Roman"/>
          <w:color w:val="000000" w:themeColor="text1"/>
          <w:spacing w:val="33"/>
        </w:rPr>
        <w:t xml:space="preserve"> </w:t>
      </w:r>
      <w:r w:rsidRPr="001233CF">
        <w:rPr>
          <w:rFonts w:ascii="Times New Roman"/>
          <w:color w:val="000000" w:themeColor="text1"/>
        </w:rPr>
        <w:t>Medicine</w:t>
      </w:r>
      <w:r w:rsidRPr="001233CF">
        <w:rPr>
          <w:rFonts w:ascii="Times New Roman"/>
          <w:color w:val="000000" w:themeColor="text1"/>
          <w:spacing w:val="34"/>
        </w:rPr>
        <w:t xml:space="preserve"> </w:t>
      </w:r>
      <w:r w:rsidRPr="001233CF">
        <w:rPr>
          <w:rFonts w:ascii="Times New Roman"/>
          <w:color w:val="000000" w:themeColor="text1"/>
          <w:spacing w:val="-2"/>
        </w:rPr>
        <w:t>2013.</w:t>
      </w:r>
    </w:p>
  </w:footnote>
  <w:footnote w:id="276">
    <w:p w14:paraId="013A21F0" w14:textId="22EA8F47" w:rsidR="001233CF" w:rsidRPr="001233CF" w:rsidRDefault="001233CF">
      <w:pPr>
        <w:pStyle w:val="FootnoteText"/>
        <w:rPr>
          <w:color w:val="000000" w:themeColor="text1"/>
        </w:rPr>
      </w:pPr>
      <w:r w:rsidRPr="001233CF">
        <w:rPr>
          <w:rStyle w:val="FootnoteReference"/>
          <w:color w:val="000000" w:themeColor="text1"/>
        </w:rPr>
        <w:footnoteRef/>
      </w:r>
      <w:r w:rsidRPr="001233CF">
        <w:rPr>
          <w:color w:val="000000" w:themeColor="text1"/>
        </w:rPr>
        <w:t xml:space="preserve"> </w:t>
      </w:r>
      <w:r w:rsidRPr="001233CF">
        <w:rPr>
          <w:color w:val="000000" w:themeColor="text1"/>
        </w:rPr>
        <w:t xml:space="preserve">Paul R. McHugh and Phillip R. Slavney, “Mental Illness — Comprehensive Evaluation or Checklist?” </w:t>
      </w:r>
      <w:r w:rsidRPr="001233CF">
        <w:rPr>
          <w:i/>
          <w:color w:val="000000" w:themeColor="text1"/>
        </w:rPr>
        <w:t xml:space="preserve">New England Journal of Medicine </w:t>
      </w:r>
      <w:r w:rsidRPr="001233CF">
        <w:rPr>
          <w:color w:val="000000" w:themeColor="text1"/>
        </w:rPr>
        <w:t xml:space="preserve">366, no. 20 (2012): 1853–1855, </w:t>
      </w:r>
      <w:hyperlink r:id="rId97">
        <w:r w:rsidRPr="001233CF">
          <w:rPr>
            <w:rStyle w:val="Hyperlink"/>
            <w:color w:val="000000" w:themeColor="text1"/>
            <w:u w:val="none"/>
          </w:rPr>
          <w:t>https://doi.org/10.1056/nejmp1202555.</w:t>
        </w:r>
      </w:hyperlink>
    </w:p>
  </w:footnote>
  <w:footnote w:id="277">
    <w:p w14:paraId="5C1B4190" w14:textId="77777777" w:rsidR="001233CF" w:rsidRPr="001233CF" w:rsidRDefault="001233CF" w:rsidP="001233CF">
      <w:pPr>
        <w:pStyle w:val="FootnoteText"/>
        <w:rPr>
          <w:color w:val="000000" w:themeColor="text1"/>
        </w:rPr>
      </w:pPr>
      <w:r w:rsidRPr="001233CF">
        <w:rPr>
          <w:rStyle w:val="FootnoteReference"/>
          <w:color w:val="000000" w:themeColor="text1"/>
        </w:rPr>
        <w:footnoteRef/>
      </w:r>
      <w:r w:rsidRPr="001233CF">
        <w:rPr>
          <w:color w:val="000000" w:themeColor="text1"/>
        </w:rPr>
        <w:t xml:space="preserve"> </w:t>
      </w:r>
      <w:r w:rsidRPr="001233CF">
        <w:rPr>
          <w:color w:val="000000" w:themeColor="text1"/>
        </w:rPr>
        <w:t xml:space="preserve">Ramin Mojtabai, “Diagnosing Depression in Older Adults in Primary Care,” </w:t>
      </w:r>
      <w:r w:rsidRPr="001233CF">
        <w:rPr>
          <w:i/>
          <w:color w:val="000000" w:themeColor="text1"/>
        </w:rPr>
        <w:t xml:space="preserve">New England Journal of Medicine </w:t>
      </w:r>
      <w:r w:rsidRPr="001233CF">
        <w:rPr>
          <w:color w:val="000000" w:themeColor="text1"/>
        </w:rPr>
        <w:t xml:space="preserve">370, no. 13 (2014): 1180–1182, </w:t>
      </w:r>
      <w:hyperlink r:id="rId98">
        <w:r w:rsidRPr="001233CF">
          <w:rPr>
            <w:rStyle w:val="Hyperlink"/>
            <w:color w:val="000000" w:themeColor="text1"/>
            <w:u w:val="none"/>
          </w:rPr>
          <w:t>https://doi.org/10.1056/nejmp1311047.</w:t>
        </w:r>
      </w:hyperlink>
    </w:p>
    <w:p w14:paraId="5A5B56CB" w14:textId="1CAF0FBA" w:rsidR="001233CF" w:rsidRDefault="001233CF">
      <w:pPr>
        <w:pStyle w:val="FootnoteText"/>
      </w:pPr>
    </w:p>
  </w:footnote>
  <w:footnote w:id="278">
    <w:p w14:paraId="2E4096CF" w14:textId="54FCC9B5" w:rsidR="001233CF" w:rsidRPr="001233CF" w:rsidRDefault="001233CF">
      <w:pPr>
        <w:pStyle w:val="FootnoteText"/>
        <w:rPr>
          <w:color w:val="000000" w:themeColor="text1"/>
        </w:rPr>
      </w:pPr>
      <w:r w:rsidRPr="001233CF">
        <w:rPr>
          <w:rStyle w:val="FootnoteReference"/>
          <w:color w:val="000000" w:themeColor="text1"/>
        </w:rPr>
        <w:footnoteRef/>
      </w:r>
      <w:r w:rsidRPr="001233CF">
        <w:rPr>
          <w:color w:val="000000" w:themeColor="text1"/>
        </w:rPr>
        <w:t xml:space="preserve"> </w:t>
      </w:r>
      <w:r w:rsidRPr="001233CF">
        <w:rPr>
          <w:color w:val="000000" w:themeColor="text1"/>
        </w:rPr>
        <w:t>Heidi M. Feldman and Michael I. Reiff, “Attention Deficit–Hyperactivity Disorder in Children and Adolescents,”</w:t>
      </w:r>
      <w:r w:rsidRPr="001233CF">
        <w:rPr>
          <w:color w:val="000000" w:themeColor="text1"/>
        </w:rPr>
        <w:t xml:space="preserve"> </w:t>
      </w:r>
      <w:r w:rsidRPr="001233CF">
        <w:rPr>
          <w:i/>
          <w:color w:val="000000" w:themeColor="text1"/>
        </w:rPr>
        <w:t xml:space="preserve">New England Journal of Medicine </w:t>
      </w:r>
      <w:r w:rsidRPr="001233CF">
        <w:rPr>
          <w:color w:val="000000" w:themeColor="text1"/>
        </w:rPr>
        <w:t xml:space="preserve">370, no. 9 (2014): 838–846, </w:t>
      </w:r>
      <w:hyperlink r:id="rId99">
        <w:r w:rsidRPr="001233CF">
          <w:rPr>
            <w:rStyle w:val="Hyperlink"/>
            <w:color w:val="000000" w:themeColor="text1"/>
            <w:u w:val="none"/>
          </w:rPr>
          <w:t>https://doi.org/10.1056/nejmcp1307215.</w:t>
        </w:r>
      </w:hyperlink>
    </w:p>
  </w:footnote>
  <w:footnote w:id="279">
    <w:p w14:paraId="7687C439" w14:textId="167E0A4E" w:rsidR="001233CF" w:rsidRPr="008F4D07" w:rsidRDefault="001233CF" w:rsidP="008F4D07">
      <w:pPr>
        <w:spacing w:before="70"/>
        <w:rPr>
          <w:rFonts w:ascii="Times New Roman"/>
          <w:sz w:val="20"/>
        </w:rPr>
      </w:pPr>
      <w:r>
        <w:rPr>
          <w:rStyle w:val="FootnoteReference"/>
        </w:rPr>
        <w:footnoteRef/>
      </w:r>
      <w:r>
        <w:t xml:space="preserve"> </w:t>
      </w:r>
      <w:r>
        <w:rPr>
          <w:rFonts w:ascii="Times New Roman"/>
          <w:color w:val="231F20"/>
          <w:sz w:val="20"/>
        </w:rPr>
        <w:t>Jeffrey</w:t>
      </w:r>
      <w:r>
        <w:rPr>
          <w:rFonts w:ascii="Times New Roman"/>
          <w:color w:val="231F20"/>
          <w:spacing w:val="6"/>
          <w:sz w:val="20"/>
        </w:rPr>
        <w:t xml:space="preserve"> </w:t>
      </w:r>
      <w:r>
        <w:rPr>
          <w:rFonts w:ascii="Times New Roman"/>
          <w:color w:val="231F20"/>
          <w:sz w:val="20"/>
        </w:rPr>
        <w:t>A.</w:t>
      </w:r>
      <w:r>
        <w:rPr>
          <w:rFonts w:ascii="Times New Roman"/>
          <w:color w:val="231F20"/>
          <w:spacing w:val="19"/>
          <w:sz w:val="20"/>
        </w:rPr>
        <w:t xml:space="preserve"> </w:t>
      </w:r>
      <w:r>
        <w:rPr>
          <w:rFonts w:ascii="Times New Roman"/>
          <w:color w:val="231F20"/>
          <w:sz w:val="20"/>
        </w:rPr>
        <w:t>Lieberman,</w:t>
      </w:r>
      <w:r>
        <w:rPr>
          <w:rFonts w:ascii="Times New Roman"/>
          <w:color w:val="231F20"/>
          <w:spacing w:val="18"/>
          <w:sz w:val="20"/>
        </w:rPr>
        <w:t xml:space="preserve"> </w:t>
      </w:r>
      <w:r>
        <w:rPr>
          <w:rFonts w:ascii="Times New Roman"/>
          <w:i/>
          <w:color w:val="231F20"/>
          <w:sz w:val="20"/>
        </w:rPr>
        <w:t>Shrinks:</w:t>
      </w:r>
      <w:r>
        <w:rPr>
          <w:rFonts w:ascii="Times New Roman"/>
          <w:i/>
          <w:color w:val="231F20"/>
          <w:spacing w:val="9"/>
          <w:sz w:val="20"/>
        </w:rPr>
        <w:t xml:space="preserve"> </w:t>
      </w:r>
      <w:r>
        <w:rPr>
          <w:rFonts w:ascii="Times New Roman"/>
          <w:i/>
          <w:color w:val="231F20"/>
          <w:sz w:val="20"/>
        </w:rPr>
        <w:t>The</w:t>
      </w:r>
      <w:r>
        <w:rPr>
          <w:rFonts w:ascii="Times New Roman"/>
          <w:i/>
          <w:color w:val="231F20"/>
          <w:spacing w:val="10"/>
          <w:sz w:val="20"/>
        </w:rPr>
        <w:t xml:space="preserve"> </w:t>
      </w:r>
      <w:r>
        <w:rPr>
          <w:rFonts w:ascii="Times New Roman"/>
          <w:i/>
          <w:color w:val="231F20"/>
          <w:sz w:val="20"/>
        </w:rPr>
        <w:t>Untold</w:t>
      </w:r>
      <w:r>
        <w:rPr>
          <w:rFonts w:ascii="Times New Roman"/>
          <w:i/>
          <w:color w:val="231F20"/>
          <w:spacing w:val="9"/>
          <w:sz w:val="20"/>
        </w:rPr>
        <w:t xml:space="preserve"> </w:t>
      </w:r>
      <w:r>
        <w:rPr>
          <w:rFonts w:ascii="Times New Roman"/>
          <w:i/>
          <w:color w:val="231F20"/>
          <w:sz w:val="20"/>
        </w:rPr>
        <w:t>Story</w:t>
      </w:r>
      <w:r>
        <w:rPr>
          <w:rFonts w:ascii="Times New Roman"/>
          <w:i/>
          <w:color w:val="231F20"/>
          <w:spacing w:val="9"/>
          <w:sz w:val="20"/>
        </w:rPr>
        <w:t xml:space="preserve"> </w:t>
      </w:r>
      <w:r>
        <w:rPr>
          <w:rFonts w:ascii="Times New Roman"/>
          <w:i/>
          <w:color w:val="231F20"/>
          <w:sz w:val="20"/>
        </w:rPr>
        <w:t>of</w:t>
      </w:r>
      <w:r>
        <w:rPr>
          <w:rFonts w:ascii="Times New Roman"/>
          <w:i/>
          <w:color w:val="231F20"/>
          <w:spacing w:val="9"/>
          <w:sz w:val="20"/>
        </w:rPr>
        <w:t xml:space="preserve"> </w:t>
      </w:r>
      <w:r>
        <w:rPr>
          <w:rFonts w:ascii="Times New Roman"/>
          <w:i/>
          <w:color w:val="231F20"/>
          <w:sz w:val="20"/>
        </w:rPr>
        <w:t>Psychiatry</w:t>
      </w:r>
      <w:r>
        <w:rPr>
          <w:rFonts w:ascii="Times New Roman"/>
          <w:i/>
          <w:color w:val="231F20"/>
          <w:spacing w:val="8"/>
          <w:sz w:val="20"/>
        </w:rPr>
        <w:t xml:space="preserve"> </w:t>
      </w:r>
      <w:r>
        <w:rPr>
          <w:rFonts w:ascii="Times New Roman"/>
          <w:color w:val="231F20"/>
          <w:sz w:val="20"/>
        </w:rPr>
        <w:t>(Little</w:t>
      </w:r>
      <w:r>
        <w:rPr>
          <w:rFonts w:ascii="Times New Roman"/>
          <w:color w:val="231F20"/>
          <w:spacing w:val="19"/>
          <w:sz w:val="20"/>
        </w:rPr>
        <w:t xml:space="preserve"> </w:t>
      </w:r>
      <w:r>
        <w:rPr>
          <w:rFonts w:ascii="Times New Roman"/>
          <w:color w:val="231F20"/>
          <w:sz w:val="20"/>
        </w:rPr>
        <w:t>Brown</w:t>
      </w:r>
      <w:r>
        <w:rPr>
          <w:rFonts w:ascii="Times New Roman"/>
          <w:color w:val="231F20"/>
          <w:spacing w:val="18"/>
          <w:sz w:val="20"/>
        </w:rPr>
        <w:t xml:space="preserve"> </w:t>
      </w:r>
      <w:r>
        <w:rPr>
          <w:rFonts w:ascii="Times New Roman"/>
          <w:color w:val="231F20"/>
          <w:sz w:val="20"/>
        </w:rPr>
        <w:t>and</w:t>
      </w:r>
      <w:r>
        <w:rPr>
          <w:rFonts w:ascii="Times New Roman"/>
          <w:color w:val="231F20"/>
          <w:spacing w:val="19"/>
          <w:sz w:val="20"/>
        </w:rPr>
        <w:t xml:space="preserve"> </w:t>
      </w:r>
      <w:r>
        <w:rPr>
          <w:rFonts w:ascii="Times New Roman"/>
          <w:color w:val="231F20"/>
          <w:sz w:val="20"/>
        </w:rPr>
        <w:t>Company,</w:t>
      </w:r>
      <w:r>
        <w:rPr>
          <w:rFonts w:ascii="Times New Roman"/>
          <w:color w:val="231F20"/>
          <w:spacing w:val="19"/>
          <w:sz w:val="20"/>
        </w:rPr>
        <w:t xml:space="preserve"> </w:t>
      </w:r>
      <w:r>
        <w:rPr>
          <w:rFonts w:ascii="Times New Roman"/>
          <w:color w:val="231F20"/>
          <w:spacing w:val="-2"/>
          <w:sz w:val="20"/>
        </w:rPr>
        <w:t>2015).</w:t>
      </w:r>
    </w:p>
  </w:footnote>
  <w:footnote w:id="280">
    <w:p w14:paraId="23CEE3CB" w14:textId="485D6F53" w:rsidR="008F4D07" w:rsidRDefault="008F4D07">
      <w:pPr>
        <w:pStyle w:val="FootnoteText"/>
      </w:pPr>
      <w:r>
        <w:rPr>
          <w:rStyle w:val="FootnoteReference"/>
        </w:rPr>
        <w:footnoteRef/>
      </w:r>
      <w:r>
        <w:t xml:space="preserve"> </w:t>
      </w:r>
      <w:r>
        <w:rPr>
          <w:rFonts w:ascii="Times New Roman" w:hAnsi="Times New Roman"/>
          <w:color w:val="231F20"/>
        </w:rPr>
        <w:t>J.</w:t>
      </w:r>
      <w:r>
        <w:rPr>
          <w:rFonts w:ascii="Times New Roman" w:hAnsi="Times New Roman"/>
          <w:color w:val="231F20"/>
          <w:spacing w:val="18"/>
        </w:rPr>
        <w:t xml:space="preserve"> </w:t>
      </w:r>
      <w:r>
        <w:rPr>
          <w:rFonts w:ascii="Times New Roman" w:hAnsi="Times New Roman"/>
          <w:color w:val="231F20"/>
        </w:rPr>
        <w:t>P.</w:t>
      </w:r>
      <w:r>
        <w:rPr>
          <w:rFonts w:ascii="Times New Roman" w:hAnsi="Times New Roman"/>
          <w:color w:val="231F20"/>
          <w:spacing w:val="18"/>
        </w:rPr>
        <w:t xml:space="preserve"> </w:t>
      </w:r>
      <w:r>
        <w:rPr>
          <w:rFonts w:ascii="Times New Roman" w:hAnsi="Times New Roman"/>
          <w:color w:val="231F20"/>
        </w:rPr>
        <w:t>Moreland,</w:t>
      </w:r>
      <w:r>
        <w:rPr>
          <w:rFonts w:ascii="Times New Roman" w:hAnsi="Times New Roman"/>
          <w:color w:val="231F20"/>
          <w:spacing w:val="18"/>
        </w:rPr>
        <w:t xml:space="preserve"> </w:t>
      </w:r>
      <w:r>
        <w:rPr>
          <w:rFonts w:ascii="Times New Roman" w:hAnsi="Times New Roman"/>
          <w:i/>
          <w:color w:val="231F20"/>
        </w:rPr>
        <w:t>The</w:t>
      </w:r>
      <w:r>
        <w:rPr>
          <w:rFonts w:ascii="Times New Roman" w:hAnsi="Times New Roman"/>
          <w:i/>
          <w:color w:val="231F20"/>
          <w:spacing w:val="18"/>
        </w:rPr>
        <w:t xml:space="preserve"> </w:t>
      </w:r>
      <w:r>
        <w:rPr>
          <w:rFonts w:ascii="Times New Roman" w:hAnsi="Times New Roman"/>
          <w:i/>
          <w:color w:val="231F20"/>
        </w:rPr>
        <w:t>Soul:</w:t>
      </w:r>
      <w:r>
        <w:rPr>
          <w:rFonts w:ascii="Times New Roman" w:hAnsi="Times New Roman"/>
          <w:i/>
          <w:color w:val="231F20"/>
          <w:spacing w:val="19"/>
        </w:rPr>
        <w:t xml:space="preserve"> </w:t>
      </w:r>
      <w:r>
        <w:rPr>
          <w:rFonts w:ascii="Times New Roman" w:hAnsi="Times New Roman"/>
          <w:i/>
          <w:color w:val="231F20"/>
        </w:rPr>
        <w:t>How</w:t>
      </w:r>
      <w:r>
        <w:rPr>
          <w:rFonts w:ascii="Times New Roman" w:hAnsi="Times New Roman"/>
          <w:i/>
          <w:color w:val="231F20"/>
          <w:spacing w:val="18"/>
        </w:rPr>
        <w:t xml:space="preserve"> </w:t>
      </w:r>
      <w:r>
        <w:rPr>
          <w:rFonts w:ascii="Times New Roman" w:hAnsi="Times New Roman"/>
          <w:i/>
          <w:color w:val="231F20"/>
        </w:rPr>
        <w:t>We</w:t>
      </w:r>
      <w:r>
        <w:rPr>
          <w:rFonts w:ascii="Times New Roman" w:hAnsi="Times New Roman"/>
          <w:i/>
          <w:color w:val="231F20"/>
          <w:spacing w:val="18"/>
        </w:rPr>
        <w:t xml:space="preserve"> </w:t>
      </w:r>
      <w:r>
        <w:rPr>
          <w:rFonts w:ascii="Times New Roman" w:hAnsi="Times New Roman"/>
          <w:i/>
          <w:color w:val="231F20"/>
        </w:rPr>
        <w:t>Know</w:t>
      </w:r>
      <w:r>
        <w:rPr>
          <w:rFonts w:ascii="Times New Roman" w:hAnsi="Times New Roman"/>
          <w:i/>
          <w:color w:val="231F20"/>
          <w:spacing w:val="18"/>
        </w:rPr>
        <w:t xml:space="preserve"> </w:t>
      </w:r>
      <w:r>
        <w:rPr>
          <w:rFonts w:ascii="Times New Roman" w:hAnsi="Times New Roman"/>
          <w:i/>
          <w:color w:val="231F20"/>
        </w:rPr>
        <w:t>It’s</w:t>
      </w:r>
      <w:r>
        <w:rPr>
          <w:rFonts w:ascii="Times New Roman" w:hAnsi="Times New Roman"/>
          <w:i/>
          <w:color w:val="231F20"/>
          <w:spacing w:val="17"/>
        </w:rPr>
        <w:t xml:space="preserve"> </w:t>
      </w:r>
      <w:r>
        <w:rPr>
          <w:rFonts w:ascii="Times New Roman" w:hAnsi="Times New Roman"/>
          <w:i/>
          <w:color w:val="231F20"/>
        </w:rPr>
        <w:t>Real</w:t>
      </w:r>
      <w:r>
        <w:rPr>
          <w:rFonts w:ascii="Times New Roman" w:hAnsi="Times New Roman"/>
          <w:i/>
          <w:color w:val="231F20"/>
          <w:spacing w:val="18"/>
        </w:rPr>
        <w:t xml:space="preserve"> </w:t>
      </w:r>
      <w:r>
        <w:rPr>
          <w:rFonts w:ascii="Times New Roman" w:hAnsi="Times New Roman"/>
          <w:i/>
          <w:color w:val="231F20"/>
        </w:rPr>
        <w:t>and</w:t>
      </w:r>
      <w:r>
        <w:rPr>
          <w:rFonts w:ascii="Times New Roman" w:hAnsi="Times New Roman"/>
          <w:i/>
          <w:color w:val="231F20"/>
          <w:spacing w:val="18"/>
        </w:rPr>
        <w:t xml:space="preserve"> </w:t>
      </w:r>
      <w:r>
        <w:rPr>
          <w:rFonts w:ascii="Times New Roman" w:hAnsi="Times New Roman"/>
          <w:i/>
          <w:color w:val="231F20"/>
        </w:rPr>
        <w:t>Why</w:t>
      </w:r>
      <w:r>
        <w:rPr>
          <w:rFonts w:ascii="Times New Roman" w:hAnsi="Times New Roman"/>
          <w:i/>
          <w:color w:val="231F20"/>
          <w:spacing w:val="18"/>
        </w:rPr>
        <w:t xml:space="preserve"> </w:t>
      </w:r>
      <w:r>
        <w:rPr>
          <w:rFonts w:ascii="Times New Roman" w:hAnsi="Times New Roman"/>
          <w:i/>
          <w:color w:val="231F20"/>
        </w:rPr>
        <w:t>It</w:t>
      </w:r>
      <w:r>
        <w:rPr>
          <w:rFonts w:ascii="Times New Roman" w:hAnsi="Times New Roman"/>
          <w:i/>
          <w:color w:val="231F20"/>
          <w:spacing w:val="18"/>
        </w:rPr>
        <w:t xml:space="preserve"> </w:t>
      </w:r>
      <w:r>
        <w:rPr>
          <w:rFonts w:ascii="Times New Roman" w:hAnsi="Times New Roman"/>
          <w:i/>
          <w:color w:val="231F20"/>
        </w:rPr>
        <w:t>Matters</w:t>
      </w:r>
      <w:r>
        <w:rPr>
          <w:rFonts w:ascii="Times New Roman" w:hAnsi="Times New Roman"/>
          <w:i/>
          <w:color w:val="231F20"/>
          <w:spacing w:val="17"/>
        </w:rPr>
        <w:t xml:space="preserve"> </w:t>
      </w:r>
      <w:r>
        <w:rPr>
          <w:rFonts w:ascii="Times New Roman" w:hAnsi="Times New Roman"/>
          <w:color w:val="231F20"/>
        </w:rPr>
        <w:t>(Chicago:</w:t>
      </w:r>
      <w:r>
        <w:rPr>
          <w:rFonts w:ascii="Times New Roman" w:hAnsi="Times New Roman"/>
          <w:color w:val="231F20"/>
          <w:spacing w:val="18"/>
        </w:rPr>
        <w:t xml:space="preserve"> </w:t>
      </w:r>
      <w:r>
        <w:rPr>
          <w:rFonts w:ascii="Times New Roman" w:hAnsi="Times New Roman"/>
          <w:color w:val="231F20"/>
        </w:rPr>
        <w:t>Moody</w:t>
      </w:r>
      <w:r>
        <w:rPr>
          <w:rFonts w:ascii="Times New Roman" w:hAnsi="Times New Roman"/>
          <w:color w:val="231F20"/>
          <w:spacing w:val="18"/>
        </w:rPr>
        <w:t xml:space="preserve"> </w:t>
      </w:r>
      <w:r>
        <w:rPr>
          <w:rFonts w:ascii="Times New Roman" w:hAnsi="Times New Roman"/>
          <w:color w:val="231F20"/>
        </w:rPr>
        <w:t>Publishers,</w:t>
      </w:r>
      <w:r>
        <w:rPr>
          <w:rFonts w:ascii="Times New Roman" w:hAnsi="Times New Roman"/>
          <w:color w:val="231F20"/>
          <w:spacing w:val="19"/>
        </w:rPr>
        <w:t xml:space="preserve"> </w:t>
      </w:r>
      <w:r>
        <w:rPr>
          <w:rFonts w:ascii="Times New Roman" w:hAnsi="Times New Roman"/>
          <w:color w:val="231F20"/>
          <w:spacing w:val="-2"/>
        </w:rPr>
        <w:t>2014).</w:t>
      </w:r>
    </w:p>
  </w:footnote>
  <w:footnote w:id="281">
    <w:p w14:paraId="5DD7505D" w14:textId="78945755" w:rsidR="008F4D07" w:rsidRPr="008F4D07" w:rsidRDefault="008F4D07">
      <w:pPr>
        <w:pStyle w:val="FootnoteText"/>
        <w:rPr>
          <w:i/>
        </w:rPr>
      </w:pPr>
      <w:r>
        <w:rPr>
          <w:rStyle w:val="FootnoteReference"/>
        </w:rPr>
        <w:footnoteRef/>
      </w:r>
      <w:r>
        <w:t xml:space="preserve"> </w:t>
      </w:r>
      <w:r w:rsidRPr="008F4D07">
        <w:t xml:space="preserve">Lieberman, </w:t>
      </w:r>
      <w:r w:rsidRPr="008F4D07">
        <w:rPr>
          <w:i/>
        </w:rPr>
        <w:t>Shrinks: The Untold Story of Psychiatry.</w:t>
      </w:r>
    </w:p>
  </w:footnote>
  <w:footnote w:id="282">
    <w:p w14:paraId="2C43E813" w14:textId="3903497A" w:rsidR="008F4D07" w:rsidRDefault="008F4D07">
      <w:pPr>
        <w:pStyle w:val="FootnoteText"/>
      </w:pPr>
      <w:r>
        <w:rPr>
          <w:rStyle w:val="FootnoteReference"/>
        </w:rPr>
        <w:footnoteRef/>
      </w:r>
      <w:r>
        <w:t xml:space="preserve"> </w:t>
      </w:r>
      <w:r w:rsidRPr="008F4D07">
        <w:t xml:space="preserve">C. S. Lewis, </w:t>
      </w:r>
      <w:r w:rsidRPr="008F4D07">
        <w:rPr>
          <w:i/>
        </w:rPr>
        <w:t xml:space="preserve">A Grief Observed </w:t>
      </w:r>
      <w:r w:rsidRPr="008F4D07">
        <w:t>(HarperCollins Publishers, 2001), 28. “H.” is how Lewis refers to his wife in his reflections.</w:t>
      </w:r>
    </w:p>
  </w:footnote>
  <w:footnote w:id="283">
    <w:p w14:paraId="5021C29F" w14:textId="0CC9E92E" w:rsidR="00930D6D" w:rsidRPr="00930D6D" w:rsidRDefault="00930D6D" w:rsidP="00930D6D">
      <w:pPr>
        <w:pStyle w:val="FootnoteText"/>
      </w:pPr>
      <w:r>
        <w:rPr>
          <w:rStyle w:val="FootnoteReference"/>
        </w:rPr>
        <w:footnoteRef/>
      </w:r>
      <w:r>
        <w:t xml:space="preserve"> </w:t>
      </w:r>
      <w:r w:rsidRPr="00930D6D">
        <w:t xml:space="preserve">Paul A. Nelson, and Stephen C. Meyer, </w:t>
      </w:r>
      <w:r w:rsidRPr="00930D6D">
        <w:rPr>
          <w:i/>
        </w:rPr>
        <w:t xml:space="preserve">Theistic Evolution: A Scientific, Philosophical, and Theological Critique, </w:t>
      </w:r>
      <w:r w:rsidRPr="00930D6D">
        <w:t>ed.</w:t>
      </w:r>
      <w:r>
        <w:t xml:space="preserve"> </w:t>
      </w:r>
      <w:r w:rsidRPr="00930D6D">
        <w:t>J. P. Moreland (Wheaton, IL: Crossway, 2017).</w:t>
      </w:r>
    </w:p>
    <w:p w14:paraId="29020315" w14:textId="3A3438AF" w:rsidR="00930D6D" w:rsidRDefault="00930D6D">
      <w:pPr>
        <w:pStyle w:val="FootnoteText"/>
      </w:pPr>
    </w:p>
  </w:footnote>
  <w:footnote w:id="284">
    <w:p w14:paraId="363CB0BE" w14:textId="2EA8B029" w:rsidR="00930D6D" w:rsidRPr="00DB47F1" w:rsidRDefault="00930D6D">
      <w:pPr>
        <w:pStyle w:val="FootnoteText"/>
        <w:rPr>
          <w:color w:val="000000" w:themeColor="text1"/>
        </w:rPr>
      </w:pPr>
      <w:r w:rsidRPr="006970D2">
        <w:rPr>
          <w:rStyle w:val="FootnoteReference"/>
          <w:color w:val="000000" w:themeColor="text1"/>
        </w:rPr>
        <w:footnoteRef/>
      </w:r>
      <w:r w:rsidRPr="006970D2">
        <w:rPr>
          <w:color w:val="000000" w:themeColor="text1"/>
        </w:rPr>
        <w:t xml:space="preserve"> </w:t>
      </w:r>
      <w:r w:rsidR="006970D2" w:rsidRPr="006970D2">
        <w:rPr>
          <w:color w:val="000000" w:themeColor="text1"/>
        </w:rPr>
        <w:t xml:space="preserve">“How Bedlam Became ‘A Palace for Lunatics.’” BBC Culture, accessed June 21, 2021, </w:t>
      </w:r>
      <w:hyperlink r:id="rId100">
        <w:r w:rsidR="006970D2" w:rsidRPr="00DB47F1">
          <w:rPr>
            <w:rStyle w:val="Hyperlink"/>
            <w:color w:val="000000" w:themeColor="text1"/>
            <w:u w:val="none"/>
          </w:rPr>
          <w:t>https://www.bbc.com/culture/</w:t>
        </w:r>
      </w:hyperlink>
      <w:r w:rsidR="006970D2" w:rsidRPr="00DB47F1">
        <w:rPr>
          <w:color w:val="000000" w:themeColor="text1"/>
        </w:rPr>
        <w:t xml:space="preserve"> article/20161213-how-bedlam-became-a-palace-for-lunatics.</w:t>
      </w:r>
    </w:p>
  </w:footnote>
  <w:footnote w:id="285">
    <w:p w14:paraId="5AE968FE" w14:textId="77777777" w:rsidR="00DB47F1" w:rsidRPr="00DB47F1" w:rsidRDefault="00DB47F1" w:rsidP="00DB47F1">
      <w:pPr>
        <w:pStyle w:val="FootnoteText"/>
        <w:rPr>
          <w:color w:val="000000" w:themeColor="text1"/>
        </w:rPr>
      </w:pPr>
      <w:r w:rsidRPr="00DB47F1">
        <w:rPr>
          <w:rStyle w:val="FootnoteReference"/>
          <w:color w:val="000000" w:themeColor="text1"/>
        </w:rPr>
        <w:footnoteRef/>
      </w:r>
      <w:r w:rsidRPr="00DB47F1">
        <w:rPr>
          <w:color w:val="000000" w:themeColor="text1"/>
        </w:rPr>
        <w:t xml:space="preserve"> </w:t>
      </w:r>
      <w:r w:rsidRPr="00DB47F1">
        <w:rPr>
          <w:color w:val="000000" w:themeColor="text1"/>
        </w:rPr>
        <w:t xml:space="preserve">Thomas Ban, </w:t>
      </w:r>
      <w:r w:rsidRPr="00DB47F1">
        <w:rPr>
          <w:i/>
          <w:color w:val="000000" w:themeColor="text1"/>
        </w:rPr>
        <w:t xml:space="preserve">Neuropsychiatric Disease and Treatment </w:t>
      </w:r>
      <w:r w:rsidRPr="00DB47F1">
        <w:rPr>
          <w:color w:val="000000" w:themeColor="text1"/>
        </w:rPr>
        <w:t xml:space="preserve">3, no. 2 (2007), </w:t>
      </w:r>
      <w:hyperlink r:id="rId101">
        <w:r w:rsidRPr="00DB47F1">
          <w:rPr>
            <w:rStyle w:val="Hyperlink"/>
            <w:color w:val="000000" w:themeColor="text1"/>
            <w:u w:val="none"/>
          </w:rPr>
          <w:t>https://doi.org/10.2147/nedt.2007.3.issue-2.</w:t>
        </w:r>
      </w:hyperlink>
    </w:p>
    <w:p w14:paraId="222C546F" w14:textId="476DCD3D" w:rsidR="00DB47F1" w:rsidRDefault="00DB47F1">
      <w:pPr>
        <w:pStyle w:val="FootnoteText"/>
      </w:pPr>
    </w:p>
  </w:footnote>
  <w:footnote w:id="286">
    <w:p w14:paraId="08ECCF67" w14:textId="725FAC1D" w:rsidR="00DB47F1" w:rsidRDefault="00DB47F1">
      <w:pPr>
        <w:pStyle w:val="FootnoteText"/>
      </w:pPr>
      <w:r>
        <w:rPr>
          <w:rStyle w:val="FootnoteReference"/>
        </w:rPr>
        <w:footnoteRef/>
      </w:r>
      <w:r>
        <w:t xml:space="preserve"> </w:t>
      </w:r>
      <w:r w:rsidRPr="00DB47F1">
        <w:t xml:space="preserve">Ban, </w:t>
      </w:r>
      <w:r w:rsidRPr="00DB47F1">
        <w:rPr>
          <w:i/>
        </w:rPr>
        <w:t xml:space="preserve">Neuropsychiatric Disease and Treatment, </w:t>
      </w:r>
      <w:r w:rsidRPr="00DB47F1">
        <w:t>3.</w:t>
      </w:r>
    </w:p>
  </w:footnote>
  <w:footnote w:id="287">
    <w:p w14:paraId="3101D6BE" w14:textId="77777777" w:rsidR="00DB47F1" w:rsidRPr="00DB47F1" w:rsidRDefault="00DB47F1" w:rsidP="00DB47F1">
      <w:pPr>
        <w:pStyle w:val="FootnoteText"/>
      </w:pPr>
      <w:r>
        <w:rPr>
          <w:rStyle w:val="FootnoteReference"/>
        </w:rPr>
        <w:footnoteRef/>
      </w:r>
      <w:r>
        <w:t xml:space="preserve"> </w:t>
      </w:r>
      <w:r w:rsidRPr="00DB47F1">
        <w:t xml:space="preserve">Philip Rieff, </w:t>
      </w:r>
      <w:r w:rsidRPr="00DB47F1">
        <w:rPr>
          <w:i/>
        </w:rPr>
        <w:t xml:space="preserve">The Triumph of the Therapeutic: Uses of Faith after Freud </w:t>
      </w:r>
      <w:r w:rsidRPr="00DB47F1">
        <w:t>(Wilmington: ISI Books, 2007).</w:t>
      </w:r>
    </w:p>
    <w:p w14:paraId="22CF895A" w14:textId="2E9811C3" w:rsidR="00DB47F1" w:rsidRDefault="00DB47F1">
      <w:pPr>
        <w:pStyle w:val="FootnoteText"/>
      </w:pPr>
    </w:p>
  </w:footnote>
  <w:footnote w:id="288">
    <w:p w14:paraId="2E933E95" w14:textId="21A26E49" w:rsidR="00EB11D1" w:rsidRPr="00EB11D1" w:rsidRDefault="00EB11D1">
      <w:pPr>
        <w:pStyle w:val="FootnoteText"/>
        <w:rPr>
          <w:color w:val="000000" w:themeColor="text1"/>
        </w:rPr>
      </w:pPr>
      <w:r w:rsidRPr="00EB11D1">
        <w:rPr>
          <w:rStyle w:val="FootnoteReference"/>
          <w:color w:val="000000" w:themeColor="text1"/>
        </w:rPr>
        <w:footnoteRef/>
      </w:r>
      <w:r w:rsidRPr="00EB11D1">
        <w:rPr>
          <w:color w:val="000000" w:themeColor="text1"/>
        </w:rPr>
        <w:t xml:space="preserve"> </w:t>
      </w:r>
      <w:r w:rsidRPr="00EB11D1">
        <w:rPr>
          <w:color w:val="000000" w:themeColor="text1"/>
        </w:rPr>
        <w:t xml:space="preserve">Allen Frances, </w:t>
      </w:r>
      <w:r w:rsidRPr="00EB11D1">
        <w:rPr>
          <w:i/>
          <w:color w:val="000000" w:themeColor="text1"/>
        </w:rPr>
        <w:t xml:space="preserve">Saving Normal: An Insider’s Revolt Against Out-of-Control Psychiatric Diagnosis, DSM-5, Big Pharma, and the Medicalization of Ordinary Life </w:t>
      </w:r>
      <w:r w:rsidRPr="00EB11D1">
        <w:rPr>
          <w:color w:val="000000" w:themeColor="text1"/>
        </w:rPr>
        <w:t>(New York, NY: William Morrow, 2014).</w:t>
      </w:r>
    </w:p>
  </w:footnote>
  <w:footnote w:id="289">
    <w:p w14:paraId="00E4C351" w14:textId="78BD6C30" w:rsidR="00EB11D1" w:rsidRPr="00EB11D1" w:rsidRDefault="00EB11D1">
      <w:pPr>
        <w:pStyle w:val="FootnoteText"/>
        <w:rPr>
          <w:color w:val="000000" w:themeColor="text1"/>
        </w:rPr>
      </w:pPr>
      <w:r w:rsidRPr="00EB11D1">
        <w:rPr>
          <w:rStyle w:val="FootnoteReference"/>
          <w:color w:val="000000" w:themeColor="text1"/>
        </w:rPr>
        <w:footnoteRef/>
      </w:r>
      <w:r w:rsidRPr="00EB11D1">
        <w:rPr>
          <w:color w:val="000000" w:themeColor="text1"/>
        </w:rPr>
        <w:t xml:space="preserve"> </w:t>
      </w:r>
      <w:r w:rsidRPr="00EB11D1">
        <w:rPr>
          <w:color w:val="000000" w:themeColor="text1"/>
        </w:rPr>
        <w:t xml:space="preserve">S. Kam-Hansen, M. Jakubowski, J. M. Kelley, I. Kirsch, D. C. Hoaglin, T. J. Kaptchuk, and R. Burstein, “Altered Placebo and Drug Labeling Changes the Outcome of Episodic Migraine Attacks,” </w:t>
      </w:r>
      <w:r w:rsidRPr="00EB11D1">
        <w:rPr>
          <w:i/>
          <w:color w:val="000000" w:themeColor="text1"/>
        </w:rPr>
        <w:t xml:space="preserve">Science Translational Medicine </w:t>
      </w:r>
      <w:r w:rsidRPr="00EB11D1">
        <w:rPr>
          <w:color w:val="000000" w:themeColor="text1"/>
        </w:rPr>
        <w:t xml:space="preserve">6, no. 218 (2014), </w:t>
      </w:r>
      <w:hyperlink r:id="rId102">
        <w:r w:rsidRPr="00EB11D1">
          <w:rPr>
            <w:rStyle w:val="Hyperlink"/>
            <w:color w:val="000000" w:themeColor="text1"/>
            <w:u w:val="none"/>
          </w:rPr>
          <w:t>https://doi.org/10.1126/scitranslmed.3006175.</w:t>
        </w:r>
      </w:hyperlink>
    </w:p>
  </w:footnote>
  <w:footnote w:id="290">
    <w:p w14:paraId="7ADD04DA" w14:textId="6BF8F6D2" w:rsidR="00EB11D1" w:rsidRDefault="00EB11D1">
      <w:pPr>
        <w:pStyle w:val="FootnoteText"/>
      </w:pPr>
      <w:r>
        <w:rPr>
          <w:rStyle w:val="FootnoteReference"/>
        </w:rPr>
        <w:footnoteRef/>
      </w:r>
      <w:r>
        <w:t xml:space="preserve"> </w:t>
      </w:r>
      <w:r>
        <w:rPr>
          <w:rFonts w:ascii="Times New Roman" w:hAnsi="Times New Roman"/>
          <w:color w:val="231F20"/>
        </w:rPr>
        <w:t>Michael</w:t>
      </w:r>
      <w:r>
        <w:rPr>
          <w:rFonts w:ascii="Times New Roman" w:hAnsi="Times New Roman"/>
          <w:color w:val="231F20"/>
          <w:spacing w:val="34"/>
        </w:rPr>
        <w:t xml:space="preserve"> </w:t>
      </w:r>
      <w:r>
        <w:rPr>
          <w:rFonts w:ascii="Times New Roman" w:hAnsi="Times New Roman"/>
          <w:color w:val="231F20"/>
        </w:rPr>
        <w:t>E.</w:t>
      </w:r>
      <w:r>
        <w:rPr>
          <w:rFonts w:ascii="Times New Roman" w:hAnsi="Times New Roman"/>
          <w:color w:val="231F20"/>
          <w:spacing w:val="28"/>
        </w:rPr>
        <w:t xml:space="preserve"> </w:t>
      </w:r>
      <w:r>
        <w:rPr>
          <w:rFonts w:ascii="Times New Roman" w:hAnsi="Times New Roman"/>
          <w:color w:val="231F20"/>
        </w:rPr>
        <w:t>Thase,</w:t>
      </w:r>
      <w:r>
        <w:rPr>
          <w:rFonts w:ascii="Times New Roman" w:hAnsi="Times New Roman"/>
          <w:color w:val="231F20"/>
          <w:spacing w:val="34"/>
        </w:rPr>
        <w:t xml:space="preserve"> </w:t>
      </w:r>
      <w:r>
        <w:rPr>
          <w:rFonts w:ascii="Times New Roman" w:hAnsi="Times New Roman"/>
          <w:color w:val="231F20"/>
        </w:rPr>
        <w:t>“The</w:t>
      </w:r>
      <w:r>
        <w:rPr>
          <w:rFonts w:ascii="Times New Roman" w:hAnsi="Times New Roman"/>
          <w:color w:val="231F20"/>
          <w:spacing w:val="34"/>
        </w:rPr>
        <w:t xml:space="preserve"> </w:t>
      </w:r>
      <w:r>
        <w:rPr>
          <w:rFonts w:ascii="Times New Roman" w:hAnsi="Times New Roman"/>
          <w:color w:val="231F20"/>
        </w:rPr>
        <w:t>Small</w:t>
      </w:r>
      <w:r>
        <w:rPr>
          <w:rFonts w:ascii="Times New Roman" w:hAnsi="Times New Roman"/>
          <w:color w:val="231F20"/>
          <w:spacing w:val="34"/>
        </w:rPr>
        <w:t xml:space="preserve"> </w:t>
      </w:r>
      <w:r>
        <w:rPr>
          <w:rFonts w:ascii="Times New Roman" w:hAnsi="Times New Roman"/>
          <w:color w:val="231F20"/>
        </w:rPr>
        <w:t>Specific</w:t>
      </w:r>
      <w:r>
        <w:rPr>
          <w:rFonts w:ascii="Times New Roman" w:hAnsi="Times New Roman"/>
          <w:color w:val="231F20"/>
          <w:spacing w:val="34"/>
        </w:rPr>
        <w:t xml:space="preserve"> </w:t>
      </w:r>
      <w:r>
        <w:rPr>
          <w:rFonts w:ascii="Times New Roman" w:hAnsi="Times New Roman"/>
          <w:color w:val="231F20"/>
        </w:rPr>
        <w:t>Effects</w:t>
      </w:r>
      <w:r>
        <w:rPr>
          <w:rFonts w:ascii="Times New Roman" w:hAnsi="Times New Roman"/>
          <w:color w:val="231F20"/>
          <w:spacing w:val="33"/>
        </w:rPr>
        <w:t xml:space="preserve"> </w:t>
      </w:r>
      <w:r>
        <w:rPr>
          <w:rFonts w:ascii="Times New Roman" w:hAnsi="Times New Roman"/>
          <w:color w:val="231F20"/>
        </w:rPr>
        <w:t>of Antidepressants</w:t>
      </w:r>
      <w:r>
        <w:rPr>
          <w:rFonts w:ascii="Times New Roman" w:hAnsi="Times New Roman"/>
          <w:color w:val="231F20"/>
          <w:spacing w:val="33"/>
        </w:rPr>
        <w:t xml:space="preserve"> </w:t>
      </w:r>
      <w:r>
        <w:rPr>
          <w:rFonts w:ascii="Times New Roman" w:hAnsi="Times New Roman"/>
          <w:color w:val="231F20"/>
        </w:rPr>
        <w:t>in</w:t>
      </w:r>
      <w:r>
        <w:rPr>
          <w:rFonts w:ascii="Times New Roman" w:hAnsi="Times New Roman"/>
          <w:color w:val="231F20"/>
          <w:spacing w:val="34"/>
        </w:rPr>
        <w:t xml:space="preserve"> </w:t>
      </w:r>
      <w:r>
        <w:rPr>
          <w:rFonts w:ascii="Times New Roman" w:hAnsi="Times New Roman"/>
          <w:color w:val="231F20"/>
        </w:rPr>
        <w:t>Clinical</w:t>
      </w:r>
      <w:r>
        <w:rPr>
          <w:rFonts w:ascii="Times New Roman" w:hAnsi="Times New Roman"/>
          <w:color w:val="231F20"/>
          <w:spacing w:val="28"/>
        </w:rPr>
        <w:t xml:space="preserve"> </w:t>
      </w:r>
      <w:r>
        <w:rPr>
          <w:rFonts w:ascii="Times New Roman" w:hAnsi="Times New Roman"/>
          <w:color w:val="231F20"/>
        </w:rPr>
        <w:t>Trials:</w:t>
      </w:r>
      <w:r>
        <w:rPr>
          <w:rFonts w:ascii="Times New Roman" w:hAnsi="Times New Roman"/>
          <w:color w:val="231F20"/>
          <w:spacing w:val="28"/>
        </w:rPr>
        <w:t xml:space="preserve"> </w:t>
      </w:r>
      <w:r>
        <w:rPr>
          <w:rFonts w:ascii="Times New Roman" w:hAnsi="Times New Roman"/>
          <w:color w:val="231F20"/>
        </w:rPr>
        <w:t>What</w:t>
      </w:r>
      <w:r>
        <w:rPr>
          <w:rFonts w:ascii="Times New Roman" w:hAnsi="Times New Roman"/>
          <w:color w:val="231F20"/>
          <w:spacing w:val="34"/>
        </w:rPr>
        <w:t xml:space="preserve"> </w:t>
      </w:r>
      <w:r>
        <w:rPr>
          <w:rFonts w:ascii="Times New Roman" w:hAnsi="Times New Roman"/>
          <w:color w:val="231F20"/>
        </w:rPr>
        <w:t>Do</w:t>
      </w:r>
      <w:r>
        <w:rPr>
          <w:rFonts w:ascii="Times New Roman" w:hAnsi="Times New Roman"/>
          <w:color w:val="231F20"/>
          <w:spacing w:val="28"/>
        </w:rPr>
        <w:t xml:space="preserve"> </w:t>
      </w:r>
      <w:r>
        <w:rPr>
          <w:rFonts w:ascii="Times New Roman" w:hAnsi="Times New Roman"/>
          <w:color w:val="231F20"/>
        </w:rPr>
        <w:t>They</w:t>
      </w:r>
      <w:r>
        <w:rPr>
          <w:rFonts w:ascii="Times New Roman" w:hAnsi="Times New Roman"/>
          <w:color w:val="231F20"/>
          <w:spacing w:val="34"/>
        </w:rPr>
        <w:t xml:space="preserve"> </w:t>
      </w:r>
      <w:r>
        <w:rPr>
          <w:rFonts w:ascii="Times New Roman" w:hAnsi="Times New Roman"/>
          <w:color w:val="231F20"/>
        </w:rPr>
        <w:t>Mean</w:t>
      </w:r>
      <w:r>
        <w:rPr>
          <w:rFonts w:ascii="Times New Roman" w:hAnsi="Times New Roman"/>
          <w:color w:val="231F20"/>
          <w:spacing w:val="34"/>
        </w:rPr>
        <w:t xml:space="preserve"> </w:t>
      </w:r>
      <w:r>
        <w:rPr>
          <w:rFonts w:ascii="Times New Roman" w:hAnsi="Times New Roman"/>
          <w:color w:val="231F20"/>
        </w:rPr>
        <w:t>to Psychiatrists?”</w:t>
      </w:r>
      <w:r>
        <w:rPr>
          <w:rFonts w:ascii="Times New Roman" w:hAnsi="Times New Roman"/>
          <w:color w:val="231F20"/>
          <w:spacing w:val="32"/>
        </w:rPr>
        <w:t xml:space="preserve"> </w:t>
      </w:r>
      <w:r>
        <w:rPr>
          <w:rFonts w:ascii="Times New Roman" w:hAnsi="Times New Roman"/>
          <w:i/>
          <w:color w:val="231F20"/>
        </w:rPr>
        <w:t>Current</w:t>
      </w:r>
      <w:r>
        <w:rPr>
          <w:rFonts w:ascii="Times New Roman" w:hAnsi="Times New Roman"/>
          <w:i/>
          <w:color w:val="231F20"/>
          <w:spacing w:val="22"/>
        </w:rPr>
        <w:t xml:space="preserve"> </w:t>
      </w:r>
      <w:r>
        <w:rPr>
          <w:rFonts w:ascii="Times New Roman" w:hAnsi="Times New Roman"/>
          <w:i/>
          <w:color w:val="231F20"/>
        </w:rPr>
        <w:t>Psychiatry</w:t>
      </w:r>
      <w:r>
        <w:rPr>
          <w:rFonts w:ascii="Times New Roman" w:hAnsi="Times New Roman"/>
          <w:i/>
          <w:color w:val="231F20"/>
          <w:spacing w:val="22"/>
        </w:rPr>
        <w:t xml:space="preserve"> </w:t>
      </w:r>
      <w:r>
        <w:rPr>
          <w:rFonts w:ascii="Times New Roman" w:hAnsi="Times New Roman"/>
          <w:i/>
          <w:color w:val="231F20"/>
        </w:rPr>
        <w:t>Reports</w:t>
      </w:r>
      <w:r>
        <w:rPr>
          <w:rFonts w:ascii="Times New Roman" w:hAnsi="Times New Roman"/>
          <w:i/>
          <w:color w:val="231F20"/>
          <w:spacing w:val="21"/>
        </w:rPr>
        <w:t xml:space="preserve"> </w:t>
      </w:r>
      <w:r>
        <w:rPr>
          <w:rFonts w:ascii="Times New Roman" w:hAnsi="Times New Roman"/>
          <w:color w:val="231F20"/>
        </w:rPr>
        <w:t>13,</w:t>
      </w:r>
      <w:r>
        <w:rPr>
          <w:rFonts w:ascii="Times New Roman" w:hAnsi="Times New Roman"/>
          <w:color w:val="231F20"/>
          <w:spacing w:val="34"/>
        </w:rPr>
        <w:t xml:space="preserve"> </w:t>
      </w:r>
      <w:r>
        <w:rPr>
          <w:rFonts w:ascii="Times New Roman" w:hAnsi="Times New Roman"/>
          <w:color w:val="231F20"/>
        </w:rPr>
        <w:t>no.</w:t>
      </w:r>
      <w:r>
        <w:rPr>
          <w:rFonts w:ascii="Times New Roman" w:hAnsi="Times New Roman"/>
          <w:color w:val="231F20"/>
          <w:spacing w:val="34"/>
        </w:rPr>
        <w:t xml:space="preserve"> </w:t>
      </w:r>
      <w:r>
        <w:rPr>
          <w:rFonts w:ascii="Times New Roman" w:hAnsi="Times New Roman"/>
          <w:color w:val="231F20"/>
        </w:rPr>
        <w:t>6</w:t>
      </w:r>
      <w:r>
        <w:rPr>
          <w:rFonts w:ascii="Times New Roman" w:hAnsi="Times New Roman"/>
          <w:color w:val="231F20"/>
          <w:spacing w:val="34"/>
        </w:rPr>
        <w:t xml:space="preserve"> </w:t>
      </w:r>
      <w:r>
        <w:rPr>
          <w:rFonts w:ascii="Times New Roman" w:hAnsi="Times New Roman"/>
          <w:color w:val="231F20"/>
        </w:rPr>
        <w:t>(2011):</w:t>
      </w:r>
      <w:r>
        <w:rPr>
          <w:rFonts w:ascii="Times New Roman" w:hAnsi="Times New Roman"/>
          <w:color w:val="231F20"/>
          <w:spacing w:val="34"/>
        </w:rPr>
        <w:t xml:space="preserve"> </w:t>
      </w:r>
      <w:r>
        <w:rPr>
          <w:rFonts w:ascii="Times New Roman" w:hAnsi="Times New Roman"/>
          <w:color w:val="231F20"/>
        </w:rPr>
        <w:t>476–482,</w:t>
      </w:r>
      <w:r>
        <w:rPr>
          <w:rFonts w:ascii="Times New Roman" w:hAnsi="Times New Roman"/>
          <w:color w:val="231F20"/>
          <w:spacing w:val="34"/>
        </w:rPr>
        <w:t xml:space="preserve"> </w:t>
      </w:r>
      <w:hyperlink r:id="rId103">
        <w:r>
          <w:rPr>
            <w:rFonts w:ascii="Times New Roman" w:hAnsi="Times New Roman"/>
            <w:color w:val="231F20"/>
          </w:rPr>
          <w:t>https://doi.org/10.1007/s11920-011-0235-x.</w:t>
        </w:r>
      </w:hyperlink>
    </w:p>
  </w:footnote>
  <w:footnote w:id="291">
    <w:p w14:paraId="2108526D" w14:textId="7AFBA704" w:rsidR="00EB11D1" w:rsidRPr="006D5863" w:rsidRDefault="00EB11D1">
      <w:pPr>
        <w:pStyle w:val="FootnoteText"/>
        <w:rPr>
          <w:color w:val="000000" w:themeColor="text1"/>
        </w:rPr>
      </w:pPr>
      <w:r w:rsidRPr="006D5863">
        <w:rPr>
          <w:rStyle w:val="FootnoteReference"/>
          <w:color w:val="000000" w:themeColor="text1"/>
        </w:rPr>
        <w:footnoteRef/>
      </w:r>
      <w:r w:rsidRPr="006D5863">
        <w:rPr>
          <w:color w:val="000000" w:themeColor="text1"/>
        </w:rPr>
        <w:t xml:space="preserve"> </w:t>
      </w:r>
      <w:r w:rsidRPr="006D5863">
        <w:rPr>
          <w:color w:val="000000" w:themeColor="text1"/>
        </w:rPr>
        <w:t xml:space="preserve">Hans Melander, Tomas Salmonson, Eric Abadie, and Barbara van Zwieten-Boot, “A Regulatory Apologia — A Review of Placebo-Controlled Studies in Regulatory Submissions of New-Generation Antidepressants,” </w:t>
      </w:r>
      <w:r w:rsidRPr="006D5863">
        <w:rPr>
          <w:i/>
          <w:color w:val="000000" w:themeColor="text1"/>
        </w:rPr>
        <w:t xml:space="preserve">European Neuropsychopharmacology </w:t>
      </w:r>
      <w:r w:rsidRPr="006D5863">
        <w:rPr>
          <w:color w:val="000000" w:themeColor="text1"/>
        </w:rPr>
        <w:t>18, no. 9 (2008): 623–627,</w:t>
      </w:r>
      <w:r w:rsidRPr="006D5863">
        <w:rPr>
          <w:color w:val="000000" w:themeColor="text1"/>
        </w:rPr>
        <w:t xml:space="preserve"> </w:t>
      </w:r>
      <w:hyperlink r:id="rId104" w:history="1">
        <w:r w:rsidR="006D5863" w:rsidRPr="006D5863">
          <w:rPr>
            <w:rStyle w:val="Hyperlink"/>
            <w:color w:val="000000" w:themeColor="text1"/>
            <w:u w:val="none"/>
          </w:rPr>
          <w:t>https://doi.org/10.1016/j.euroneuro.2008.06.003.</w:t>
        </w:r>
      </w:hyperlink>
    </w:p>
  </w:footnote>
  <w:footnote w:id="292">
    <w:p w14:paraId="181A3529" w14:textId="28965AC1" w:rsidR="006D5863" w:rsidRPr="006D5863" w:rsidRDefault="006D5863">
      <w:pPr>
        <w:pStyle w:val="FootnoteText"/>
        <w:rPr>
          <w:color w:val="000000" w:themeColor="text1"/>
        </w:rPr>
      </w:pPr>
      <w:r w:rsidRPr="006D5863">
        <w:rPr>
          <w:rStyle w:val="FootnoteReference"/>
          <w:color w:val="000000" w:themeColor="text1"/>
        </w:rPr>
        <w:footnoteRef/>
      </w:r>
      <w:r w:rsidRPr="006D5863">
        <w:rPr>
          <w:color w:val="000000" w:themeColor="text1"/>
        </w:rPr>
        <w:t xml:space="preserve"> </w:t>
      </w:r>
      <w:r w:rsidRPr="006D5863">
        <w:rPr>
          <w:color w:val="000000" w:themeColor="text1"/>
        </w:rPr>
        <w:t xml:space="preserve">Peter M. Haddad, and Christoph U. Correll, “The Acute Efficacy of Antipsychotics in Schizophrenia: A Review of Recent Meta-Analyses,” </w:t>
      </w:r>
      <w:r w:rsidRPr="006D5863">
        <w:rPr>
          <w:i/>
          <w:color w:val="000000" w:themeColor="text1"/>
        </w:rPr>
        <w:t xml:space="preserve">Therapeutic Advances in Psychopharmacology </w:t>
      </w:r>
      <w:r w:rsidRPr="006D5863">
        <w:rPr>
          <w:color w:val="000000" w:themeColor="text1"/>
        </w:rPr>
        <w:t xml:space="preserve">8, no. 11 (2018): 303–318, </w:t>
      </w:r>
      <w:hyperlink r:id="rId105">
        <w:r w:rsidRPr="006D5863">
          <w:rPr>
            <w:rStyle w:val="Hyperlink"/>
            <w:color w:val="000000" w:themeColor="text1"/>
            <w:u w:val="none"/>
          </w:rPr>
          <w:t>https://doi.</w:t>
        </w:r>
      </w:hyperlink>
      <w:r w:rsidRPr="006D5863">
        <w:rPr>
          <w:color w:val="000000" w:themeColor="text1"/>
        </w:rPr>
        <w:t xml:space="preserve"> org/10.1177/2045125318781475.</w:t>
      </w:r>
    </w:p>
  </w:footnote>
  <w:footnote w:id="293">
    <w:p w14:paraId="2EB5D36F" w14:textId="6B9EDD3A" w:rsidR="006D5863" w:rsidRPr="006D5863" w:rsidRDefault="006D5863">
      <w:pPr>
        <w:pStyle w:val="FootnoteText"/>
        <w:rPr>
          <w:color w:val="000000" w:themeColor="text1"/>
        </w:rPr>
      </w:pPr>
      <w:r>
        <w:rPr>
          <w:rStyle w:val="FootnoteReference"/>
        </w:rPr>
        <w:footnoteRef/>
      </w:r>
      <w:r>
        <w:t xml:space="preserve"> </w:t>
      </w:r>
      <w:r w:rsidRPr="006D5863">
        <w:t xml:space="preserve">Peter E. Stokes, Charles A. Shamoian, Peter M. Stoll, and Michael J. Patton, “Efficacy of Lithium as Acute </w:t>
      </w:r>
      <w:r w:rsidRPr="006D5863">
        <w:rPr>
          <w:color w:val="000000" w:themeColor="text1"/>
        </w:rPr>
        <w:t xml:space="preserve">Treatment of Manic-Depressive Illness,” </w:t>
      </w:r>
      <w:r w:rsidRPr="006D5863">
        <w:rPr>
          <w:i/>
          <w:color w:val="000000" w:themeColor="text1"/>
        </w:rPr>
        <w:t xml:space="preserve">The Lancet </w:t>
      </w:r>
      <w:r w:rsidRPr="006D5863">
        <w:rPr>
          <w:color w:val="000000" w:themeColor="text1"/>
        </w:rPr>
        <w:t xml:space="preserve">297, no. 7713 (1971): 1319–1325, </w:t>
      </w:r>
      <w:hyperlink r:id="rId106">
        <w:r w:rsidRPr="006D5863">
          <w:rPr>
            <w:rStyle w:val="Hyperlink"/>
            <w:color w:val="000000" w:themeColor="text1"/>
            <w:u w:val="none"/>
          </w:rPr>
          <w:t>https://doi.org/10.1016/</w:t>
        </w:r>
      </w:hyperlink>
      <w:r w:rsidRPr="006D5863">
        <w:rPr>
          <w:color w:val="000000" w:themeColor="text1"/>
        </w:rPr>
        <w:t xml:space="preserve"> s0140-6736(71)91886-1.</w:t>
      </w:r>
    </w:p>
  </w:footnote>
  <w:footnote w:id="294">
    <w:p w14:paraId="6788F133" w14:textId="36CC7CE4" w:rsidR="006D5863" w:rsidRPr="006D5863" w:rsidRDefault="006D5863">
      <w:pPr>
        <w:pStyle w:val="FootnoteText"/>
        <w:rPr>
          <w:color w:val="000000" w:themeColor="text1"/>
        </w:rPr>
      </w:pPr>
      <w:r w:rsidRPr="006D5863">
        <w:rPr>
          <w:rStyle w:val="FootnoteReference"/>
          <w:color w:val="000000" w:themeColor="text1"/>
        </w:rPr>
        <w:footnoteRef/>
      </w:r>
      <w:r w:rsidRPr="006D5863">
        <w:rPr>
          <w:color w:val="000000" w:themeColor="text1"/>
        </w:rPr>
        <w:t xml:space="preserve"> </w:t>
      </w:r>
      <w:r w:rsidRPr="006D5863">
        <w:rPr>
          <w:color w:val="000000" w:themeColor="text1"/>
        </w:rPr>
        <w:t xml:space="preserve">Nikolaus Kleindienst and Waldemar Greil, “Differential Efficacy of Lithium and Carbamazepine in the Prophylaxis of Bipolar Disorder: Results of the MAP Study,” </w:t>
      </w:r>
      <w:r w:rsidRPr="006D5863">
        <w:rPr>
          <w:i/>
          <w:color w:val="000000" w:themeColor="text1"/>
        </w:rPr>
        <w:t xml:space="preserve">Neuropsychobiology </w:t>
      </w:r>
      <w:r w:rsidRPr="006D5863">
        <w:rPr>
          <w:color w:val="000000" w:themeColor="text1"/>
        </w:rPr>
        <w:t>42, no. 1 (2000): 2–10, https:// doi.org/10.1159/000054844.</w:t>
      </w:r>
    </w:p>
  </w:footnote>
  <w:footnote w:id="295">
    <w:p w14:paraId="3151AC44" w14:textId="1BBE3B3D" w:rsidR="006D5863" w:rsidRPr="009A76E2" w:rsidRDefault="006D5863">
      <w:pPr>
        <w:pStyle w:val="FootnoteText"/>
        <w:rPr>
          <w:color w:val="000000" w:themeColor="text1"/>
        </w:rPr>
      </w:pPr>
      <w:r w:rsidRPr="006D5863">
        <w:rPr>
          <w:rStyle w:val="FootnoteReference"/>
          <w:color w:val="000000" w:themeColor="text1"/>
        </w:rPr>
        <w:footnoteRef/>
      </w:r>
      <w:r w:rsidRPr="006D5863">
        <w:rPr>
          <w:color w:val="000000" w:themeColor="text1"/>
        </w:rPr>
        <w:t xml:space="preserve"> </w:t>
      </w:r>
      <w:r w:rsidRPr="006D5863">
        <w:rPr>
          <w:color w:val="000000" w:themeColor="text1"/>
        </w:rPr>
        <w:t>Deborah M. Stone, Thomas R. Simon, Katherine A. Fowler, Scott R. Kegler, Keming Yuan, Kristin M. Holland, Asha</w:t>
      </w:r>
      <w:r w:rsidRPr="006D5863">
        <w:rPr>
          <w:color w:val="000000" w:themeColor="text1"/>
        </w:rPr>
        <w:t xml:space="preserve"> </w:t>
      </w:r>
      <w:r w:rsidRPr="006D5863">
        <w:rPr>
          <w:color w:val="000000" w:themeColor="text1"/>
        </w:rPr>
        <w:t xml:space="preserve">Z. Ivey-Stephenson, and Alex E. Crosby, “Vital Signs: Trends in State Suicide Rates - United States, 1999-2016 and Circumstances Contributing to Suicide - 27 States, 2015,” Morbidity and Mortality Weekly Report, Centers for Disease Control and Prevention, June 8, 2018, </w:t>
      </w:r>
      <w:hyperlink r:id="rId107">
        <w:r w:rsidRPr="006D5863">
          <w:rPr>
            <w:rStyle w:val="Hyperlink"/>
            <w:color w:val="000000" w:themeColor="text1"/>
            <w:u w:val="none"/>
          </w:rPr>
          <w:t>https://www.ncbi.nlm.nih.gov/pmc/articles/PMC5991813/#.</w:t>
        </w:r>
      </w:hyperlink>
    </w:p>
  </w:footnote>
  <w:footnote w:id="296">
    <w:p w14:paraId="50A769D9" w14:textId="089D4DDF" w:rsidR="006D5863" w:rsidRDefault="006D5863">
      <w:pPr>
        <w:pStyle w:val="FootnoteText"/>
      </w:pPr>
      <w:r>
        <w:rPr>
          <w:rStyle w:val="FootnoteReference"/>
        </w:rPr>
        <w:footnoteRef/>
      </w:r>
      <w:r>
        <w:t xml:space="preserve"> </w:t>
      </w:r>
      <w:r w:rsidR="009A76E2" w:rsidRPr="009A76E2">
        <w:t>Seena Fazel and Bo Runeson, “Suicide,” New England Journal of Medicine 382, no. 3 (2020): 266–274, https://doi. org/10.1056/nejmra1902944.</w:t>
      </w:r>
    </w:p>
  </w:footnote>
  <w:footnote w:id="297">
    <w:p w14:paraId="38E0E2EA" w14:textId="7CDFF575" w:rsidR="009A76E2" w:rsidRDefault="009A76E2">
      <w:pPr>
        <w:pStyle w:val="FootnoteText"/>
      </w:pPr>
      <w:r>
        <w:rPr>
          <w:rStyle w:val="FootnoteReference"/>
        </w:rPr>
        <w:footnoteRef/>
      </w:r>
      <w:r>
        <w:t xml:space="preserve"> </w:t>
      </w:r>
      <w:r>
        <w:rPr>
          <w:rFonts w:ascii="Times New Roman" w:hAnsi="Times New Roman"/>
          <w:color w:val="231F20"/>
        </w:rPr>
        <w:t>Jeffrey A.</w:t>
      </w:r>
      <w:r>
        <w:rPr>
          <w:rFonts w:ascii="Times New Roman" w:hAnsi="Times New Roman"/>
          <w:color w:val="231F20"/>
          <w:spacing w:val="23"/>
        </w:rPr>
        <w:t xml:space="preserve"> </w:t>
      </w:r>
      <w:r>
        <w:rPr>
          <w:rFonts w:ascii="Times New Roman" w:hAnsi="Times New Roman"/>
          <w:color w:val="231F20"/>
        </w:rPr>
        <w:t>Lieberman,</w:t>
      </w:r>
      <w:r>
        <w:rPr>
          <w:rFonts w:ascii="Times New Roman" w:hAnsi="Times New Roman"/>
          <w:color w:val="231F20"/>
          <w:spacing w:val="23"/>
        </w:rPr>
        <w:t xml:space="preserve"> </w:t>
      </w:r>
      <w:r>
        <w:rPr>
          <w:rFonts w:ascii="Times New Roman" w:hAnsi="Times New Roman"/>
          <w:color w:val="231F20"/>
        </w:rPr>
        <w:t>“Back</w:t>
      </w:r>
      <w:r>
        <w:rPr>
          <w:rFonts w:ascii="Times New Roman" w:hAnsi="Times New Roman"/>
          <w:color w:val="231F20"/>
          <w:spacing w:val="23"/>
        </w:rPr>
        <w:t xml:space="preserve"> </w:t>
      </w:r>
      <w:r>
        <w:rPr>
          <w:rFonts w:ascii="Times New Roman" w:hAnsi="Times New Roman"/>
          <w:color w:val="231F20"/>
        </w:rPr>
        <w:t>to</w:t>
      </w:r>
      <w:r>
        <w:rPr>
          <w:rFonts w:ascii="Times New Roman" w:hAnsi="Times New Roman"/>
          <w:color w:val="231F20"/>
          <w:spacing w:val="23"/>
        </w:rPr>
        <w:t xml:space="preserve"> </w:t>
      </w:r>
      <w:r>
        <w:rPr>
          <w:rFonts w:ascii="Times New Roman" w:hAnsi="Times New Roman"/>
          <w:color w:val="231F20"/>
        </w:rPr>
        <w:t>the</w:t>
      </w:r>
      <w:r>
        <w:rPr>
          <w:rFonts w:ascii="Times New Roman" w:hAnsi="Times New Roman"/>
          <w:color w:val="231F20"/>
          <w:spacing w:val="23"/>
        </w:rPr>
        <w:t xml:space="preserve"> </w:t>
      </w:r>
      <w:r>
        <w:rPr>
          <w:rFonts w:ascii="Times New Roman" w:hAnsi="Times New Roman"/>
          <w:color w:val="231F20"/>
        </w:rPr>
        <w:t>Future</w:t>
      </w:r>
      <w:r>
        <w:rPr>
          <w:rFonts w:ascii="Times New Roman" w:hAnsi="Times New Roman"/>
          <w:color w:val="231F20"/>
          <w:spacing w:val="23"/>
        </w:rPr>
        <w:t xml:space="preserve"> </w:t>
      </w:r>
      <w:r>
        <w:rPr>
          <w:rFonts w:ascii="Times New Roman" w:hAnsi="Times New Roman"/>
          <w:color w:val="231F20"/>
        </w:rPr>
        <w:t>—</w:t>
      </w:r>
      <w:r>
        <w:rPr>
          <w:rFonts w:ascii="Times New Roman" w:hAnsi="Times New Roman"/>
          <w:color w:val="231F20"/>
          <w:spacing w:val="18"/>
        </w:rPr>
        <w:t xml:space="preserve"> </w:t>
      </w:r>
      <w:r>
        <w:rPr>
          <w:rFonts w:ascii="Times New Roman" w:hAnsi="Times New Roman"/>
          <w:color w:val="231F20"/>
        </w:rPr>
        <w:t>The</w:t>
      </w:r>
      <w:r>
        <w:rPr>
          <w:rFonts w:ascii="Times New Roman" w:hAnsi="Times New Roman"/>
          <w:color w:val="231F20"/>
          <w:spacing w:val="18"/>
        </w:rPr>
        <w:t xml:space="preserve"> </w:t>
      </w:r>
      <w:r>
        <w:rPr>
          <w:rFonts w:ascii="Times New Roman" w:hAnsi="Times New Roman"/>
          <w:color w:val="231F20"/>
        </w:rPr>
        <w:t>Therapeutic</w:t>
      </w:r>
      <w:r>
        <w:rPr>
          <w:rFonts w:ascii="Times New Roman" w:hAnsi="Times New Roman"/>
          <w:color w:val="231F20"/>
          <w:spacing w:val="23"/>
        </w:rPr>
        <w:t xml:space="preserve"> </w:t>
      </w:r>
      <w:r>
        <w:rPr>
          <w:rFonts w:ascii="Times New Roman" w:hAnsi="Times New Roman"/>
          <w:color w:val="231F20"/>
        </w:rPr>
        <w:t>Potential</w:t>
      </w:r>
      <w:r>
        <w:rPr>
          <w:rFonts w:ascii="Times New Roman" w:hAnsi="Times New Roman"/>
          <w:color w:val="231F20"/>
          <w:spacing w:val="23"/>
        </w:rPr>
        <w:t xml:space="preserve"> </w:t>
      </w:r>
      <w:r>
        <w:rPr>
          <w:rFonts w:ascii="Times New Roman" w:hAnsi="Times New Roman"/>
          <w:color w:val="231F20"/>
        </w:rPr>
        <w:t>of</w:t>
      </w:r>
      <w:r>
        <w:rPr>
          <w:rFonts w:ascii="Times New Roman" w:hAnsi="Times New Roman"/>
          <w:color w:val="231F20"/>
          <w:spacing w:val="23"/>
        </w:rPr>
        <w:t xml:space="preserve"> </w:t>
      </w:r>
      <w:r>
        <w:rPr>
          <w:rFonts w:ascii="Times New Roman" w:hAnsi="Times New Roman"/>
          <w:color w:val="231F20"/>
        </w:rPr>
        <w:t>Psychedelic</w:t>
      </w:r>
      <w:r>
        <w:rPr>
          <w:rFonts w:ascii="Times New Roman" w:hAnsi="Times New Roman"/>
          <w:color w:val="231F20"/>
          <w:spacing w:val="23"/>
        </w:rPr>
        <w:t xml:space="preserve"> </w:t>
      </w:r>
      <w:r>
        <w:rPr>
          <w:rFonts w:ascii="Times New Roman" w:hAnsi="Times New Roman"/>
          <w:color w:val="231F20"/>
        </w:rPr>
        <w:t>Drugs,”</w:t>
      </w:r>
      <w:r>
        <w:rPr>
          <w:rFonts w:ascii="Times New Roman" w:hAnsi="Times New Roman"/>
          <w:color w:val="231F20"/>
          <w:spacing w:val="23"/>
        </w:rPr>
        <w:t xml:space="preserve"> </w:t>
      </w:r>
      <w:r>
        <w:rPr>
          <w:rFonts w:ascii="Times New Roman" w:hAnsi="Times New Roman"/>
          <w:i/>
          <w:color w:val="231F20"/>
        </w:rPr>
        <w:t>New</w:t>
      </w:r>
      <w:r>
        <w:rPr>
          <w:rFonts w:ascii="Times New Roman" w:hAnsi="Times New Roman"/>
          <w:i/>
          <w:color w:val="231F20"/>
          <w:spacing w:val="13"/>
        </w:rPr>
        <w:t xml:space="preserve"> </w:t>
      </w:r>
      <w:r>
        <w:rPr>
          <w:rFonts w:ascii="Times New Roman" w:hAnsi="Times New Roman"/>
          <w:i/>
          <w:color w:val="231F20"/>
        </w:rPr>
        <w:t>England</w:t>
      </w:r>
      <w:r>
        <w:rPr>
          <w:rFonts w:ascii="Times New Roman" w:hAnsi="Times New Roman"/>
          <w:i/>
          <w:color w:val="231F20"/>
          <w:spacing w:val="13"/>
        </w:rPr>
        <w:t xml:space="preserve"> </w:t>
      </w:r>
      <w:r>
        <w:rPr>
          <w:rFonts w:ascii="Times New Roman" w:hAnsi="Times New Roman"/>
          <w:i/>
          <w:color w:val="231F20"/>
        </w:rPr>
        <w:t>Journal of</w:t>
      </w:r>
      <w:r>
        <w:rPr>
          <w:rFonts w:ascii="Times New Roman" w:hAnsi="Times New Roman"/>
          <w:i/>
          <w:color w:val="231F20"/>
          <w:spacing w:val="40"/>
        </w:rPr>
        <w:t xml:space="preserve"> </w:t>
      </w:r>
      <w:r>
        <w:rPr>
          <w:rFonts w:ascii="Times New Roman" w:hAnsi="Times New Roman"/>
          <w:i/>
          <w:color w:val="231F20"/>
        </w:rPr>
        <w:t>Medicine</w:t>
      </w:r>
      <w:r>
        <w:rPr>
          <w:rFonts w:ascii="Times New Roman" w:hAnsi="Times New Roman"/>
          <w:i/>
          <w:color w:val="231F20"/>
          <w:spacing w:val="40"/>
        </w:rPr>
        <w:t xml:space="preserve"> </w:t>
      </w:r>
      <w:r>
        <w:rPr>
          <w:rFonts w:ascii="Times New Roman" w:hAnsi="Times New Roman"/>
          <w:color w:val="231F20"/>
        </w:rPr>
        <w:t>384,</w:t>
      </w:r>
      <w:r>
        <w:rPr>
          <w:rFonts w:ascii="Times New Roman" w:hAnsi="Times New Roman"/>
          <w:color w:val="231F20"/>
          <w:spacing w:val="40"/>
        </w:rPr>
        <w:t xml:space="preserve"> </w:t>
      </w:r>
      <w:r>
        <w:rPr>
          <w:rFonts w:ascii="Times New Roman" w:hAnsi="Times New Roman"/>
          <w:color w:val="231F20"/>
        </w:rPr>
        <w:t>no.</w:t>
      </w:r>
      <w:r>
        <w:rPr>
          <w:rFonts w:ascii="Times New Roman" w:hAnsi="Times New Roman"/>
          <w:color w:val="231F20"/>
          <w:spacing w:val="40"/>
        </w:rPr>
        <w:t xml:space="preserve"> </w:t>
      </w:r>
      <w:r>
        <w:rPr>
          <w:rFonts w:ascii="Times New Roman" w:hAnsi="Times New Roman"/>
          <w:color w:val="231F20"/>
        </w:rPr>
        <w:t>15</w:t>
      </w:r>
      <w:r>
        <w:rPr>
          <w:rFonts w:ascii="Times New Roman" w:hAnsi="Times New Roman"/>
          <w:color w:val="231F20"/>
          <w:spacing w:val="40"/>
        </w:rPr>
        <w:t xml:space="preserve"> </w:t>
      </w:r>
      <w:r>
        <w:rPr>
          <w:rFonts w:ascii="Times New Roman" w:hAnsi="Times New Roman"/>
          <w:color w:val="231F20"/>
        </w:rPr>
        <w:t>(2021):</w:t>
      </w:r>
      <w:r>
        <w:rPr>
          <w:rFonts w:ascii="Times New Roman" w:hAnsi="Times New Roman"/>
          <w:color w:val="231F20"/>
          <w:spacing w:val="40"/>
        </w:rPr>
        <w:t xml:space="preserve"> </w:t>
      </w:r>
      <w:r>
        <w:rPr>
          <w:rFonts w:ascii="Times New Roman" w:hAnsi="Times New Roman"/>
          <w:color w:val="231F20"/>
        </w:rPr>
        <w:t>1460–1461,</w:t>
      </w:r>
      <w:r>
        <w:rPr>
          <w:rFonts w:ascii="Times New Roman" w:hAnsi="Times New Roman"/>
          <w:color w:val="231F20"/>
          <w:spacing w:val="40"/>
        </w:rPr>
        <w:t xml:space="preserve"> </w:t>
      </w:r>
      <w:hyperlink r:id="rId108">
        <w:r>
          <w:rPr>
            <w:rFonts w:ascii="Times New Roman" w:hAnsi="Times New Roman"/>
            <w:color w:val="231F20"/>
          </w:rPr>
          <w:t>https://doi.org/10.1056/nejme2102835.</w:t>
        </w:r>
      </w:hyperlink>
    </w:p>
  </w:footnote>
  <w:footnote w:id="298">
    <w:p w14:paraId="6737F797" w14:textId="184CE726" w:rsidR="009A76E2" w:rsidRPr="009A76E2" w:rsidRDefault="009A76E2">
      <w:pPr>
        <w:pStyle w:val="FootnoteText"/>
        <w:rPr>
          <w:color w:val="000000" w:themeColor="text1"/>
        </w:rPr>
      </w:pPr>
      <w:r>
        <w:rPr>
          <w:rStyle w:val="FootnoteReference"/>
        </w:rPr>
        <w:footnoteRef/>
      </w:r>
      <w:r>
        <w:t xml:space="preserve"> </w:t>
      </w:r>
      <w:r w:rsidRPr="009A76E2">
        <w:t xml:space="preserve">David Nutt and Robin Carhart-Harris, “The Current Status of Psychedelics in Psychiatry,” </w:t>
      </w:r>
      <w:r w:rsidRPr="009A76E2">
        <w:rPr>
          <w:i/>
        </w:rPr>
        <w:t xml:space="preserve">JAMA Psychiatry </w:t>
      </w:r>
      <w:r w:rsidRPr="009A76E2">
        <w:rPr>
          <w:color w:val="000000" w:themeColor="text1"/>
        </w:rPr>
        <w:t xml:space="preserve">78, no. 2 (2021): 121, </w:t>
      </w:r>
      <w:hyperlink r:id="rId109">
        <w:r w:rsidRPr="009A76E2">
          <w:rPr>
            <w:rStyle w:val="Hyperlink"/>
            <w:color w:val="000000" w:themeColor="text1"/>
            <w:u w:val="none"/>
          </w:rPr>
          <w:t>https://doi.org/10.1001/jamapsychiatry.2020.2171.</w:t>
        </w:r>
      </w:hyperlink>
    </w:p>
  </w:footnote>
  <w:footnote w:id="299">
    <w:p w14:paraId="471E1692" w14:textId="6FB8A387" w:rsidR="009A76E2" w:rsidRPr="00BA18C9" w:rsidRDefault="009A76E2">
      <w:pPr>
        <w:pStyle w:val="FootnoteText"/>
        <w:rPr>
          <w:color w:val="000000" w:themeColor="text1"/>
        </w:rPr>
      </w:pPr>
      <w:r w:rsidRPr="009A76E2">
        <w:rPr>
          <w:rStyle w:val="FootnoteReference"/>
          <w:color w:val="000000" w:themeColor="text1"/>
        </w:rPr>
        <w:footnoteRef/>
      </w:r>
      <w:r w:rsidRPr="009A76E2">
        <w:rPr>
          <w:color w:val="000000" w:themeColor="text1"/>
        </w:rPr>
        <w:t xml:space="preserve"> </w:t>
      </w:r>
      <w:r w:rsidRPr="009A76E2">
        <w:rPr>
          <w:color w:val="000000" w:themeColor="text1"/>
        </w:rPr>
        <w:t xml:space="preserve">Handan Gunduz-Bruce, Christopher Silber, Inder Kaul, Anthony J. Rothschild, Robert Riesenberg, Abdul J. Sankoh, Haihong Li, et al., “Trial of Sage-217 in Patients with Major Depressive Disorder,” </w:t>
      </w:r>
      <w:r w:rsidRPr="009A76E2">
        <w:rPr>
          <w:i/>
          <w:color w:val="000000" w:themeColor="text1"/>
        </w:rPr>
        <w:t xml:space="preserve">New England Journal of Medicine </w:t>
      </w:r>
      <w:r w:rsidRPr="009A76E2">
        <w:rPr>
          <w:color w:val="000000" w:themeColor="text1"/>
        </w:rPr>
        <w:t xml:space="preserve">381, no. 10 (2019): 903–911, </w:t>
      </w:r>
      <w:hyperlink r:id="rId110">
        <w:r w:rsidRPr="009A76E2">
          <w:rPr>
            <w:rStyle w:val="Hyperlink"/>
            <w:color w:val="000000" w:themeColor="text1"/>
            <w:u w:val="none"/>
          </w:rPr>
          <w:t>https://doi.org/10.1056/nejmoa1815981.</w:t>
        </w:r>
      </w:hyperlink>
    </w:p>
  </w:footnote>
  <w:footnote w:id="300">
    <w:p w14:paraId="7AC8206C" w14:textId="77777777" w:rsidR="00BA18C9" w:rsidRPr="00BA18C9" w:rsidRDefault="00BA18C9" w:rsidP="00BA18C9">
      <w:pPr>
        <w:pStyle w:val="FootnoteText"/>
      </w:pPr>
      <w:r>
        <w:rPr>
          <w:rStyle w:val="FootnoteReference"/>
        </w:rPr>
        <w:footnoteRef/>
      </w:r>
      <w:r>
        <w:t xml:space="preserve"> </w:t>
      </w:r>
      <w:r w:rsidRPr="00BA18C9">
        <w:t>Feldman and Reiff, “Attention Deficit–Hyperactivity Disorder in Children and Adolescents,” 838–846.</w:t>
      </w:r>
    </w:p>
    <w:p w14:paraId="587B80D0" w14:textId="6A90C312" w:rsidR="00BA18C9" w:rsidRDefault="00BA18C9">
      <w:pPr>
        <w:pStyle w:val="FootnoteText"/>
      </w:pPr>
    </w:p>
  </w:footnote>
  <w:footnote w:id="301">
    <w:p w14:paraId="784B6E29" w14:textId="0E83F676" w:rsidR="00BA18C9" w:rsidRPr="00D65AD1" w:rsidRDefault="00BA18C9">
      <w:pPr>
        <w:pStyle w:val="FootnoteText"/>
        <w:rPr>
          <w:color w:val="000000" w:themeColor="text1"/>
        </w:rPr>
      </w:pPr>
      <w:r w:rsidRPr="00D65AD1">
        <w:rPr>
          <w:rStyle w:val="FootnoteReference"/>
          <w:color w:val="000000" w:themeColor="text1"/>
        </w:rPr>
        <w:footnoteRef/>
      </w:r>
      <w:r w:rsidRPr="00D65AD1">
        <w:rPr>
          <w:color w:val="000000" w:themeColor="text1"/>
        </w:rPr>
        <w:t xml:space="preserve"> </w:t>
      </w:r>
      <w:r w:rsidRPr="00D65AD1">
        <w:rPr>
          <w:color w:val="000000" w:themeColor="text1"/>
        </w:rPr>
        <w:t xml:space="preserve">Jennifer L. McLaren, Erin R. Barnett, Milangel T. Concepcion Zayas, Jonathan Lichtenstein, Stephanie C. Acquilano, Lisa M. Schwartz, Steven Woloshin, and Robert E. Drake, “Psychotropic Medications for Highly Vulnerable Children,” </w:t>
      </w:r>
      <w:r w:rsidRPr="00D65AD1">
        <w:rPr>
          <w:i/>
          <w:color w:val="000000" w:themeColor="text1"/>
        </w:rPr>
        <w:t xml:space="preserve">Expert Opinion on Pharmacotherapy </w:t>
      </w:r>
      <w:r w:rsidRPr="00D65AD1">
        <w:rPr>
          <w:color w:val="000000" w:themeColor="text1"/>
        </w:rPr>
        <w:t xml:space="preserve">19, no. 6 (2018): 547–560, </w:t>
      </w:r>
      <w:hyperlink r:id="rId111">
        <w:r w:rsidRPr="00D65AD1">
          <w:rPr>
            <w:rStyle w:val="Hyperlink"/>
            <w:color w:val="000000" w:themeColor="text1"/>
            <w:u w:val="none"/>
          </w:rPr>
          <w:t>https://doi.org/10.1080/14656566.2018.1</w:t>
        </w:r>
      </w:hyperlink>
      <w:r w:rsidRPr="00BA18C9">
        <w:rPr>
          <w:color w:val="000000" w:themeColor="text1"/>
        </w:rPr>
        <w:t>445720.</w:t>
      </w:r>
    </w:p>
  </w:footnote>
  <w:footnote w:id="302">
    <w:p w14:paraId="498772A5" w14:textId="5588FD88" w:rsidR="00105D21" w:rsidRPr="00D65AD1" w:rsidRDefault="00105D21">
      <w:pPr>
        <w:pStyle w:val="FootnoteText"/>
        <w:rPr>
          <w:color w:val="000000" w:themeColor="text1"/>
        </w:rPr>
      </w:pPr>
      <w:r w:rsidRPr="00D65AD1">
        <w:rPr>
          <w:rStyle w:val="FootnoteReference"/>
          <w:color w:val="000000" w:themeColor="text1"/>
        </w:rPr>
        <w:footnoteRef/>
      </w:r>
      <w:r w:rsidRPr="00D65AD1">
        <w:rPr>
          <w:color w:val="000000" w:themeColor="text1"/>
        </w:rPr>
        <w:t xml:space="preserve"> </w:t>
      </w:r>
      <w:r w:rsidRPr="00D65AD1">
        <w:rPr>
          <w:color w:val="000000" w:themeColor="text1"/>
        </w:rPr>
        <w:t>McLaren et al., “Psychotropic Medications for Highly Vulnerable Children,” 547–560.</w:t>
      </w:r>
    </w:p>
  </w:footnote>
  <w:footnote w:id="303">
    <w:p w14:paraId="727F52C0" w14:textId="0ABE6B85" w:rsidR="00105D21" w:rsidRPr="00D65AD1" w:rsidRDefault="00105D21">
      <w:pPr>
        <w:pStyle w:val="FootnoteText"/>
        <w:rPr>
          <w:color w:val="000000" w:themeColor="text1"/>
        </w:rPr>
      </w:pPr>
      <w:r w:rsidRPr="00D65AD1">
        <w:rPr>
          <w:rStyle w:val="FootnoteReference"/>
          <w:color w:val="000000" w:themeColor="text1"/>
        </w:rPr>
        <w:footnoteRef/>
      </w:r>
      <w:r w:rsidRPr="00D65AD1">
        <w:rPr>
          <w:color w:val="000000" w:themeColor="text1"/>
        </w:rPr>
        <w:t xml:space="preserve"> </w:t>
      </w:r>
      <w:r w:rsidRPr="00D65AD1">
        <w:rPr>
          <w:color w:val="000000" w:themeColor="text1"/>
        </w:rPr>
        <w:t xml:space="preserve">Peter McGuffin, Fruhling Rijsdijk, Martin Andrew, Pak Sham, Randy Katz, and Alastair Cardno, “The Heritability of Bipolar Affective Disorder and the Genetic Relationship to Unipolar Depression,” </w:t>
      </w:r>
      <w:r w:rsidRPr="00D65AD1">
        <w:rPr>
          <w:i/>
          <w:color w:val="000000" w:themeColor="text1"/>
        </w:rPr>
        <w:t xml:space="preserve">Archives of General Psychiatry </w:t>
      </w:r>
      <w:r w:rsidRPr="00D65AD1">
        <w:rPr>
          <w:color w:val="000000" w:themeColor="text1"/>
        </w:rPr>
        <w:t xml:space="preserve">60, no. 5 (2003): 497, </w:t>
      </w:r>
      <w:hyperlink r:id="rId112">
        <w:r w:rsidRPr="00D65AD1">
          <w:rPr>
            <w:rStyle w:val="Hyperlink"/>
            <w:color w:val="000000" w:themeColor="text1"/>
            <w:u w:val="none"/>
          </w:rPr>
          <w:t>https://doi.org/10.1001/archpsyc.60.5.497.</w:t>
        </w:r>
      </w:hyperlink>
    </w:p>
  </w:footnote>
  <w:footnote w:id="304">
    <w:p w14:paraId="35D5148E" w14:textId="77777777" w:rsidR="00D65AD1" w:rsidRPr="00D65AD1" w:rsidRDefault="00D65AD1" w:rsidP="00D65AD1">
      <w:pPr>
        <w:pStyle w:val="FootnoteText"/>
        <w:rPr>
          <w:color w:val="000000" w:themeColor="text1"/>
        </w:rPr>
      </w:pPr>
      <w:r w:rsidRPr="00D65AD1">
        <w:rPr>
          <w:rStyle w:val="FootnoteReference"/>
          <w:color w:val="000000" w:themeColor="text1"/>
        </w:rPr>
        <w:footnoteRef/>
      </w:r>
      <w:r w:rsidRPr="00D65AD1">
        <w:rPr>
          <w:color w:val="000000" w:themeColor="text1"/>
        </w:rPr>
        <w:t xml:space="preserve"> </w:t>
      </w:r>
      <w:r w:rsidRPr="00D65AD1">
        <w:rPr>
          <w:color w:val="000000" w:themeColor="text1"/>
        </w:rPr>
        <w:t xml:space="preserve">Kathleen R. Merikangas, Hagop S. Akiskal, Jules Angst, Paul E. Greenberg, Robert M. Hirschfeld, Maria Petukhova, and Ronald C. Kessler, “Lifetime and 12-Month Prevalence of Bipolar Spectrum Disorder in the National Comorbidity Survey Replication,” </w:t>
      </w:r>
      <w:r w:rsidRPr="00D65AD1">
        <w:rPr>
          <w:i/>
          <w:color w:val="000000" w:themeColor="text1"/>
        </w:rPr>
        <w:t xml:space="preserve">Archives of General Psychiatry </w:t>
      </w:r>
      <w:r w:rsidRPr="00D65AD1">
        <w:rPr>
          <w:color w:val="000000" w:themeColor="text1"/>
        </w:rPr>
        <w:t xml:space="preserve">64, no. 5 (2007): 543, </w:t>
      </w:r>
      <w:hyperlink r:id="rId113">
        <w:r w:rsidRPr="00D65AD1">
          <w:rPr>
            <w:rStyle w:val="Hyperlink"/>
            <w:color w:val="000000" w:themeColor="text1"/>
            <w:u w:val="none"/>
          </w:rPr>
          <w:t>https://doi.org/10.1001/</w:t>
        </w:r>
      </w:hyperlink>
      <w:r w:rsidRPr="00D65AD1">
        <w:rPr>
          <w:color w:val="000000" w:themeColor="text1"/>
        </w:rPr>
        <w:t xml:space="preserve"> archpsyc.64.5.543.</w:t>
      </w:r>
    </w:p>
    <w:p w14:paraId="4EEB6469" w14:textId="4A826979" w:rsidR="00D65AD1" w:rsidRDefault="00D65AD1">
      <w:pPr>
        <w:pStyle w:val="FootnoteText"/>
      </w:pPr>
    </w:p>
  </w:footnote>
  <w:footnote w:id="305">
    <w:p w14:paraId="5C20A607" w14:textId="77777777" w:rsidR="0071444A" w:rsidRPr="0071444A" w:rsidRDefault="0071444A" w:rsidP="0071444A">
      <w:pPr>
        <w:pStyle w:val="FootnoteText"/>
        <w:rPr>
          <w:color w:val="000000" w:themeColor="text1"/>
        </w:rPr>
      </w:pPr>
      <w:r w:rsidRPr="0071444A">
        <w:rPr>
          <w:rStyle w:val="FootnoteReference"/>
          <w:color w:val="000000" w:themeColor="text1"/>
        </w:rPr>
        <w:footnoteRef/>
      </w:r>
      <w:r w:rsidRPr="0071444A">
        <w:rPr>
          <w:color w:val="000000" w:themeColor="text1"/>
        </w:rPr>
        <w:t xml:space="preserve"> </w:t>
      </w:r>
      <w:r w:rsidRPr="0071444A">
        <w:rPr>
          <w:color w:val="000000" w:themeColor="text1"/>
        </w:rPr>
        <w:t xml:space="preserve">“The (In)Human Dimension of Ghana’s Prayer Camps,” Human Rights Watch, October 28, 2020, https://www.hrw. org/news/2014/10/10/inhuman-dimension-ghanas-prayer-camps#. “Ghana: Faith Healers Defy Ban on Chaining,” Human Rights Watch, October 28, 2020, </w:t>
      </w:r>
      <w:hyperlink r:id="rId114">
        <w:r w:rsidRPr="0071444A">
          <w:rPr>
            <w:rStyle w:val="Hyperlink"/>
            <w:color w:val="000000" w:themeColor="text1"/>
            <w:u w:val="none"/>
          </w:rPr>
          <w:t>https://www.hrw.org/news/2019/11/27/ghana-faith-healers-defy-ban-</w:t>
        </w:r>
      </w:hyperlink>
      <w:r w:rsidRPr="0071444A">
        <w:rPr>
          <w:color w:val="000000" w:themeColor="text1"/>
        </w:rPr>
        <w:t>chaining.</w:t>
      </w:r>
    </w:p>
    <w:p w14:paraId="48735ABC" w14:textId="6B8E51AD" w:rsidR="0071444A" w:rsidRDefault="0071444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6007C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7.2pt" o:bullet="t">
        <v:imagedata r:id="rId1" o:title="image1"/>
      </v:shape>
    </w:pict>
  </w:numPicBullet>
  <w:numPicBullet w:numPicBulletId="1">
    <w:pict>
      <v:shape id="_x0000_i1026" type="#_x0000_t75" style="width:7.2pt;height:7.2pt" o:bullet="t">
        <v:imagedata r:id="rId2" o:title="image2"/>
      </v:shape>
    </w:pict>
  </w:numPicBullet>
  <w:abstractNum w:abstractNumId="0" w15:restartNumberingAfterBreak="0">
    <w:nsid w:val="11366C26"/>
    <w:multiLevelType w:val="hybridMultilevel"/>
    <w:tmpl w:val="7960E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145E3C"/>
    <w:multiLevelType w:val="hybridMultilevel"/>
    <w:tmpl w:val="C51AEB4A"/>
    <w:lvl w:ilvl="0" w:tplc="30A45928">
      <w:numFmt w:val="bullet"/>
      <w:lvlText w:val="&amp;"/>
      <w:lvlPicBulletId w:val="0"/>
      <w:lvlJc w:val="left"/>
      <w:pPr>
        <w:ind w:left="990" w:hanging="316"/>
      </w:pPr>
      <w:rPr>
        <w:rFonts w:ascii="Times New Roman" w:eastAsia="Times New Roman" w:hAnsi="Times New Roman" w:cs="Times New Roman" w:hint="default"/>
        <w:b w:val="0"/>
        <w:bCs w:val="0"/>
        <w:i w:val="0"/>
        <w:iCs w:val="0"/>
        <w:w w:val="100"/>
        <w:position w:val="5"/>
        <w:sz w:val="16"/>
        <w:szCs w:val="16"/>
        <w:lang w:val="en-US" w:eastAsia="en-US" w:bidi="ar-SA"/>
      </w:rPr>
    </w:lvl>
    <w:lvl w:ilvl="1" w:tplc="A6BAAA7E">
      <w:numFmt w:val="bullet"/>
      <w:lvlText w:val="•"/>
      <w:lvlJc w:val="left"/>
      <w:pPr>
        <w:ind w:left="2052" w:hanging="316"/>
      </w:pPr>
      <w:rPr>
        <w:rFonts w:hint="default"/>
        <w:lang w:val="en-US" w:eastAsia="en-US" w:bidi="ar-SA"/>
      </w:rPr>
    </w:lvl>
    <w:lvl w:ilvl="2" w:tplc="29840390">
      <w:numFmt w:val="bullet"/>
      <w:lvlText w:val="•"/>
      <w:lvlJc w:val="left"/>
      <w:pPr>
        <w:ind w:left="3104" w:hanging="316"/>
      </w:pPr>
      <w:rPr>
        <w:rFonts w:hint="default"/>
        <w:lang w:val="en-US" w:eastAsia="en-US" w:bidi="ar-SA"/>
      </w:rPr>
    </w:lvl>
    <w:lvl w:ilvl="3" w:tplc="04BAAC56">
      <w:numFmt w:val="bullet"/>
      <w:lvlText w:val="•"/>
      <w:lvlJc w:val="left"/>
      <w:pPr>
        <w:ind w:left="4156" w:hanging="316"/>
      </w:pPr>
      <w:rPr>
        <w:rFonts w:hint="default"/>
        <w:lang w:val="en-US" w:eastAsia="en-US" w:bidi="ar-SA"/>
      </w:rPr>
    </w:lvl>
    <w:lvl w:ilvl="4" w:tplc="054A2CCE">
      <w:numFmt w:val="bullet"/>
      <w:lvlText w:val="•"/>
      <w:lvlJc w:val="left"/>
      <w:pPr>
        <w:ind w:left="5208" w:hanging="316"/>
      </w:pPr>
      <w:rPr>
        <w:rFonts w:hint="default"/>
        <w:lang w:val="en-US" w:eastAsia="en-US" w:bidi="ar-SA"/>
      </w:rPr>
    </w:lvl>
    <w:lvl w:ilvl="5" w:tplc="4F4A42E2">
      <w:numFmt w:val="bullet"/>
      <w:lvlText w:val="•"/>
      <w:lvlJc w:val="left"/>
      <w:pPr>
        <w:ind w:left="6260" w:hanging="316"/>
      </w:pPr>
      <w:rPr>
        <w:rFonts w:hint="default"/>
        <w:lang w:val="en-US" w:eastAsia="en-US" w:bidi="ar-SA"/>
      </w:rPr>
    </w:lvl>
    <w:lvl w:ilvl="6" w:tplc="5D281B76">
      <w:numFmt w:val="bullet"/>
      <w:lvlText w:val="•"/>
      <w:lvlJc w:val="left"/>
      <w:pPr>
        <w:ind w:left="7312" w:hanging="316"/>
      </w:pPr>
      <w:rPr>
        <w:rFonts w:hint="default"/>
        <w:lang w:val="en-US" w:eastAsia="en-US" w:bidi="ar-SA"/>
      </w:rPr>
    </w:lvl>
    <w:lvl w:ilvl="7" w:tplc="F9A24DAC">
      <w:numFmt w:val="bullet"/>
      <w:lvlText w:val="•"/>
      <w:lvlJc w:val="left"/>
      <w:pPr>
        <w:ind w:left="8364" w:hanging="316"/>
      </w:pPr>
      <w:rPr>
        <w:rFonts w:hint="default"/>
        <w:lang w:val="en-US" w:eastAsia="en-US" w:bidi="ar-SA"/>
      </w:rPr>
    </w:lvl>
    <w:lvl w:ilvl="8" w:tplc="19FADD7E">
      <w:numFmt w:val="bullet"/>
      <w:lvlText w:val="•"/>
      <w:lvlJc w:val="left"/>
      <w:pPr>
        <w:ind w:left="9416" w:hanging="316"/>
      </w:pPr>
      <w:rPr>
        <w:rFonts w:hint="default"/>
        <w:lang w:val="en-US" w:eastAsia="en-US" w:bidi="ar-SA"/>
      </w:rPr>
    </w:lvl>
  </w:abstractNum>
  <w:abstractNum w:abstractNumId="2" w15:restartNumberingAfterBreak="0">
    <w:nsid w:val="651A65E2"/>
    <w:multiLevelType w:val="hybridMultilevel"/>
    <w:tmpl w:val="A43AED9A"/>
    <w:lvl w:ilvl="0" w:tplc="E7E03688">
      <w:numFmt w:val="bullet"/>
      <w:lvlText w:val="&amp;"/>
      <w:lvlPicBulletId w:val="1"/>
      <w:lvlJc w:val="left"/>
      <w:pPr>
        <w:ind w:left="990" w:hanging="316"/>
      </w:pPr>
      <w:rPr>
        <w:rFonts w:ascii="Times New Roman" w:eastAsia="Times New Roman" w:hAnsi="Times New Roman" w:cs="Times New Roman" w:hint="default"/>
        <w:b w:val="0"/>
        <w:bCs w:val="0"/>
        <w:i w:val="0"/>
        <w:iCs w:val="0"/>
        <w:w w:val="100"/>
        <w:position w:val="1"/>
        <w:sz w:val="16"/>
        <w:szCs w:val="16"/>
        <w:lang w:val="en-US" w:eastAsia="en-US" w:bidi="ar-SA"/>
      </w:rPr>
    </w:lvl>
    <w:lvl w:ilvl="1" w:tplc="66FAE162">
      <w:numFmt w:val="bullet"/>
      <w:lvlText w:val="•"/>
      <w:lvlJc w:val="left"/>
      <w:pPr>
        <w:ind w:left="2052" w:hanging="316"/>
      </w:pPr>
      <w:rPr>
        <w:rFonts w:hint="default"/>
        <w:lang w:val="en-US" w:eastAsia="en-US" w:bidi="ar-SA"/>
      </w:rPr>
    </w:lvl>
    <w:lvl w:ilvl="2" w:tplc="289690E6">
      <w:numFmt w:val="bullet"/>
      <w:lvlText w:val="•"/>
      <w:lvlJc w:val="left"/>
      <w:pPr>
        <w:ind w:left="3104" w:hanging="316"/>
      </w:pPr>
      <w:rPr>
        <w:rFonts w:hint="default"/>
        <w:lang w:val="en-US" w:eastAsia="en-US" w:bidi="ar-SA"/>
      </w:rPr>
    </w:lvl>
    <w:lvl w:ilvl="3" w:tplc="49FA8F94">
      <w:numFmt w:val="bullet"/>
      <w:lvlText w:val="•"/>
      <w:lvlJc w:val="left"/>
      <w:pPr>
        <w:ind w:left="4156" w:hanging="316"/>
      </w:pPr>
      <w:rPr>
        <w:rFonts w:hint="default"/>
        <w:lang w:val="en-US" w:eastAsia="en-US" w:bidi="ar-SA"/>
      </w:rPr>
    </w:lvl>
    <w:lvl w:ilvl="4" w:tplc="ADC28EFE">
      <w:numFmt w:val="bullet"/>
      <w:lvlText w:val="•"/>
      <w:lvlJc w:val="left"/>
      <w:pPr>
        <w:ind w:left="5208" w:hanging="316"/>
      </w:pPr>
      <w:rPr>
        <w:rFonts w:hint="default"/>
        <w:lang w:val="en-US" w:eastAsia="en-US" w:bidi="ar-SA"/>
      </w:rPr>
    </w:lvl>
    <w:lvl w:ilvl="5" w:tplc="3CC6DE58">
      <w:numFmt w:val="bullet"/>
      <w:lvlText w:val="•"/>
      <w:lvlJc w:val="left"/>
      <w:pPr>
        <w:ind w:left="6260" w:hanging="316"/>
      </w:pPr>
      <w:rPr>
        <w:rFonts w:hint="default"/>
        <w:lang w:val="en-US" w:eastAsia="en-US" w:bidi="ar-SA"/>
      </w:rPr>
    </w:lvl>
    <w:lvl w:ilvl="6" w:tplc="9996AF06">
      <w:numFmt w:val="bullet"/>
      <w:lvlText w:val="•"/>
      <w:lvlJc w:val="left"/>
      <w:pPr>
        <w:ind w:left="7312" w:hanging="316"/>
      </w:pPr>
      <w:rPr>
        <w:rFonts w:hint="default"/>
        <w:lang w:val="en-US" w:eastAsia="en-US" w:bidi="ar-SA"/>
      </w:rPr>
    </w:lvl>
    <w:lvl w:ilvl="7" w:tplc="E3FA8D10">
      <w:numFmt w:val="bullet"/>
      <w:lvlText w:val="•"/>
      <w:lvlJc w:val="left"/>
      <w:pPr>
        <w:ind w:left="8364" w:hanging="316"/>
      </w:pPr>
      <w:rPr>
        <w:rFonts w:hint="default"/>
        <w:lang w:val="en-US" w:eastAsia="en-US" w:bidi="ar-SA"/>
      </w:rPr>
    </w:lvl>
    <w:lvl w:ilvl="8" w:tplc="376EF616">
      <w:numFmt w:val="bullet"/>
      <w:lvlText w:val="•"/>
      <w:lvlJc w:val="left"/>
      <w:pPr>
        <w:ind w:left="9416" w:hanging="316"/>
      </w:pPr>
      <w:rPr>
        <w:rFonts w:hint="default"/>
        <w:lang w:val="en-US" w:eastAsia="en-US" w:bidi="ar-SA"/>
      </w:rPr>
    </w:lvl>
  </w:abstractNum>
  <w:num w:numId="1" w16cid:durableId="1463114424">
    <w:abstractNumId w:val="1"/>
  </w:num>
  <w:num w:numId="2" w16cid:durableId="282805575">
    <w:abstractNumId w:val="2"/>
  </w:num>
  <w:num w:numId="3" w16cid:durableId="760612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1E4"/>
    <w:rsid w:val="00006E8F"/>
    <w:rsid w:val="000944CC"/>
    <w:rsid w:val="000A1CB0"/>
    <w:rsid w:val="000A6142"/>
    <w:rsid w:val="000C1759"/>
    <w:rsid w:val="000D3491"/>
    <w:rsid w:val="00103681"/>
    <w:rsid w:val="00105D21"/>
    <w:rsid w:val="001233CF"/>
    <w:rsid w:val="001335A1"/>
    <w:rsid w:val="00133E5C"/>
    <w:rsid w:val="00155598"/>
    <w:rsid w:val="00157EAD"/>
    <w:rsid w:val="0016311B"/>
    <w:rsid w:val="001A024F"/>
    <w:rsid w:val="001A57FB"/>
    <w:rsid w:val="001B12E0"/>
    <w:rsid w:val="001B1809"/>
    <w:rsid w:val="001D1591"/>
    <w:rsid w:val="001E5F87"/>
    <w:rsid w:val="001F2D66"/>
    <w:rsid w:val="00201B86"/>
    <w:rsid w:val="00210C02"/>
    <w:rsid w:val="002137F7"/>
    <w:rsid w:val="00215B40"/>
    <w:rsid w:val="00230295"/>
    <w:rsid w:val="002349B6"/>
    <w:rsid w:val="00240A26"/>
    <w:rsid w:val="00253DCC"/>
    <w:rsid w:val="002555B2"/>
    <w:rsid w:val="0025710A"/>
    <w:rsid w:val="002631C1"/>
    <w:rsid w:val="00284E62"/>
    <w:rsid w:val="00285F0E"/>
    <w:rsid w:val="00296FBA"/>
    <w:rsid w:val="0029729F"/>
    <w:rsid w:val="002A4152"/>
    <w:rsid w:val="002A4D72"/>
    <w:rsid w:val="002F06DD"/>
    <w:rsid w:val="002F443B"/>
    <w:rsid w:val="0030068D"/>
    <w:rsid w:val="00315473"/>
    <w:rsid w:val="0032631D"/>
    <w:rsid w:val="00343ACC"/>
    <w:rsid w:val="003746A6"/>
    <w:rsid w:val="00377DE0"/>
    <w:rsid w:val="003C5E99"/>
    <w:rsid w:val="003D029B"/>
    <w:rsid w:val="003D6B41"/>
    <w:rsid w:val="00413E72"/>
    <w:rsid w:val="004321E4"/>
    <w:rsid w:val="0044571D"/>
    <w:rsid w:val="00465A9E"/>
    <w:rsid w:val="00473B3D"/>
    <w:rsid w:val="004A08F7"/>
    <w:rsid w:val="00521B4B"/>
    <w:rsid w:val="00553A6B"/>
    <w:rsid w:val="00557093"/>
    <w:rsid w:val="0058714B"/>
    <w:rsid w:val="005A3775"/>
    <w:rsid w:val="005A5095"/>
    <w:rsid w:val="005C0053"/>
    <w:rsid w:val="005C7D21"/>
    <w:rsid w:val="005D55B4"/>
    <w:rsid w:val="005E3AF3"/>
    <w:rsid w:val="00621D39"/>
    <w:rsid w:val="00635562"/>
    <w:rsid w:val="006478FB"/>
    <w:rsid w:val="00657272"/>
    <w:rsid w:val="00677E71"/>
    <w:rsid w:val="00686823"/>
    <w:rsid w:val="006935C2"/>
    <w:rsid w:val="006970D2"/>
    <w:rsid w:val="006A40A3"/>
    <w:rsid w:val="006A72DE"/>
    <w:rsid w:val="006B0F05"/>
    <w:rsid w:val="006D5863"/>
    <w:rsid w:val="00702946"/>
    <w:rsid w:val="00703D1F"/>
    <w:rsid w:val="0071136C"/>
    <w:rsid w:val="0071444A"/>
    <w:rsid w:val="00715B6A"/>
    <w:rsid w:val="00722184"/>
    <w:rsid w:val="0072388D"/>
    <w:rsid w:val="007347E7"/>
    <w:rsid w:val="0079127E"/>
    <w:rsid w:val="00794DB2"/>
    <w:rsid w:val="00796862"/>
    <w:rsid w:val="007D43C9"/>
    <w:rsid w:val="007F15D9"/>
    <w:rsid w:val="00813F96"/>
    <w:rsid w:val="00822DFB"/>
    <w:rsid w:val="00823D4B"/>
    <w:rsid w:val="008428ED"/>
    <w:rsid w:val="00844B68"/>
    <w:rsid w:val="008D604B"/>
    <w:rsid w:val="008F4D07"/>
    <w:rsid w:val="00904F47"/>
    <w:rsid w:val="009070AE"/>
    <w:rsid w:val="0091651B"/>
    <w:rsid w:val="00930D6D"/>
    <w:rsid w:val="00936988"/>
    <w:rsid w:val="0095125B"/>
    <w:rsid w:val="00961C53"/>
    <w:rsid w:val="00965A86"/>
    <w:rsid w:val="0099155D"/>
    <w:rsid w:val="009A32DE"/>
    <w:rsid w:val="009A76E2"/>
    <w:rsid w:val="009B0DA5"/>
    <w:rsid w:val="009D206D"/>
    <w:rsid w:val="009E3537"/>
    <w:rsid w:val="00A0565E"/>
    <w:rsid w:val="00A141FF"/>
    <w:rsid w:val="00A172AD"/>
    <w:rsid w:val="00A34699"/>
    <w:rsid w:val="00A6220B"/>
    <w:rsid w:val="00A8339D"/>
    <w:rsid w:val="00AE06F9"/>
    <w:rsid w:val="00AE2388"/>
    <w:rsid w:val="00B107A3"/>
    <w:rsid w:val="00B45055"/>
    <w:rsid w:val="00B50EBE"/>
    <w:rsid w:val="00B91EC6"/>
    <w:rsid w:val="00BA18C9"/>
    <w:rsid w:val="00BA212F"/>
    <w:rsid w:val="00BB5547"/>
    <w:rsid w:val="00BD0F79"/>
    <w:rsid w:val="00BD1A51"/>
    <w:rsid w:val="00BE3EF3"/>
    <w:rsid w:val="00C11BA8"/>
    <w:rsid w:val="00C34099"/>
    <w:rsid w:val="00C71989"/>
    <w:rsid w:val="00C736A0"/>
    <w:rsid w:val="00CE215B"/>
    <w:rsid w:val="00D10BCE"/>
    <w:rsid w:val="00D41CA9"/>
    <w:rsid w:val="00D60EE3"/>
    <w:rsid w:val="00D62A26"/>
    <w:rsid w:val="00D63C19"/>
    <w:rsid w:val="00D65AD1"/>
    <w:rsid w:val="00D670A8"/>
    <w:rsid w:val="00D749AA"/>
    <w:rsid w:val="00DA3E4E"/>
    <w:rsid w:val="00DB47F1"/>
    <w:rsid w:val="00DC3FB6"/>
    <w:rsid w:val="00DE4F44"/>
    <w:rsid w:val="00E00A01"/>
    <w:rsid w:val="00E01A75"/>
    <w:rsid w:val="00E10921"/>
    <w:rsid w:val="00E10D60"/>
    <w:rsid w:val="00E131F4"/>
    <w:rsid w:val="00E57DD5"/>
    <w:rsid w:val="00E77865"/>
    <w:rsid w:val="00E84B80"/>
    <w:rsid w:val="00E85B4E"/>
    <w:rsid w:val="00E92D67"/>
    <w:rsid w:val="00EA24F7"/>
    <w:rsid w:val="00EB11D1"/>
    <w:rsid w:val="00EB7964"/>
    <w:rsid w:val="00EC769C"/>
    <w:rsid w:val="00ED3AB5"/>
    <w:rsid w:val="00ED6244"/>
    <w:rsid w:val="00F505E9"/>
    <w:rsid w:val="00F83EE2"/>
    <w:rsid w:val="00F84651"/>
    <w:rsid w:val="00F915B1"/>
    <w:rsid w:val="00FC044A"/>
    <w:rsid w:val="00FD0081"/>
    <w:rsid w:val="00FF4D2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ED4FAF9"/>
  <w15:chartTrackingRefBased/>
  <w15:docId w15:val="{46C838DF-0C96-984A-84C7-40DA28D7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1E4"/>
    <w:pPr>
      <w:widowControl w:val="0"/>
      <w:autoSpaceDE w:val="0"/>
      <w:autoSpaceDN w:val="0"/>
    </w:pPr>
    <w:rPr>
      <w:rFonts w:ascii="Cambria" w:eastAsia="Cambria" w:hAnsi="Cambria" w:cs="Cambria"/>
      <w:sz w:val="22"/>
      <w:szCs w:val="22"/>
    </w:rPr>
  </w:style>
  <w:style w:type="paragraph" w:styleId="Heading1">
    <w:name w:val="heading 1"/>
    <w:basedOn w:val="Normal"/>
    <w:next w:val="Normal"/>
    <w:link w:val="Heading1Char"/>
    <w:uiPriority w:val="9"/>
    <w:qFormat/>
    <w:rsid w:val="000944CC"/>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0944CC"/>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0944CC"/>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0944CC"/>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0944CC"/>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44CC"/>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0944CC"/>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944CC"/>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944CC"/>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1">
    <w:name w:val="Subhead 1"/>
    <w:basedOn w:val="Normal"/>
    <w:qFormat/>
    <w:rsid w:val="000944CC"/>
    <w:pPr>
      <w:spacing w:before="240" w:line="480" w:lineRule="auto"/>
      <w:jc w:val="center"/>
    </w:pPr>
    <w:rPr>
      <w:b/>
      <w:bCs/>
    </w:rPr>
  </w:style>
  <w:style w:type="paragraph" w:customStyle="1" w:styleId="ChapterTItle">
    <w:name w:val="Chapter TItle"/>
    <w:basedOn w:val="Normal"/>
    <w:qFormat/>
    <w:rsid w:val="000944CC"/>
    <w:pPr>
      <w:spacing w:line="480" w:lineRule="auto"/>
      <w:jc w:val="center"/>
    </w:pPr>
  </w:style>
  <w:style w:type="paragraph" w:customStyle="1" w:styleId="Subhead2">
    <w:name w:val="Subhead 2"/>
    <w:basedOn w:val="Normal"/>
    <w:qFormat/>
    <w:rsid w:val="000944CC"/>
    <w:pPr>
      <w:spacing w:before="240" w:line="480" w:lineRule="auto"/>
      <w:jc w:val="center"/>
    </w:pPr>
  </w:style>
  <w:style w:type="character" w:customStyle="1" w:styleId="Heading1Char">
    <w:name w:val="Heading 1 Char"/>
    <w:basedOn w:val="DefaultParagraphFont"/>
    <w:link w:val="Heading1"/>
    <w:uiPriority w:val="9"/>
    <w:rsid w:val="000944CC"/>
    <w:rPr>
      <w:b/>
      <w:sz w:val="48"/>
      <w:szCs w:val="48"/>
    </w:rPr>
  </w:style>
  <w:style w:type="character" w:customStyle="1" w:styleId="Heading2Char">
    <w:name w:val="Heading 2 Char"/>
    <w:basedOn w:val="DefaultParagraphFont"/>
    <w:link w:val="Heading2"/>
    <w:uiPriority w:val="9"/>
    <w:semiHidden/>
    <w:rsid w:val="000944CC"/>
    <w:rPr>
      <w:b/>
      <w:sz w:val="36"/>
      <w:szCs w:val="36"/>
    </w:rPr>
  </w:style>
  <w:style w:type="character" w:customStyle="1" w:styleId="Heading3Char">
    <w:name w:val="Heading 3 Char"/>
    <w:basedOn w:val="DefaultParagraphFont"/>
    <w:link w:val="Heading3"/>
    <w:uiPriority w:val="9"/>
    <w:semiHidden/>
    <w:rsid w:val="000944CC"/>
    <w:rPr>
      <w:b/>
      <w:sz w:val="28"/>
      <w:szCs w:val="28"/>
    </w:rPr>
  </w:style>
  <w:style w:type="character" w:customStyle="1" w:styleId="Heading4Char">
    <w:name w:val="Heading 4 Char"/>
    <w:basedOn w:val="DefaultParagraphFont"/>
    <w:link w:val="Heading4"/>
    <w:uiPriority w:val="9"/>
    <w:semiHidden/>
    <w:rsid w:val="000944CC"/>
    <w:rPr>
      <w:b/>
    </w:rPr>
  </w:style>
  <w:style w:type="character" w:customStyle="1" w:styleId="Heading5Char">
    <w:name w:val="Heading 5 Char"/>
    <w:basedOn w:val="DefaultParagraphFont"/>
    <w:link w:val="Heading5"/>
    <w:uiPriority w:val="9"/>
    <w:semiHidden/>
    <w:rsid w:val="000944CC"/>
    <w:rPr>
      <w:b/>
      <w:sz w:val="22"/>
      <w:szCs w:val="22"/>
    </w:rPr>
  </w:style>
  <w:style w:type="character" w:customStyle="1" w:styleId="Heading6Char">
    <w:name w:val="Heading 6 Char"/>
    <w:basedOn w:val="DefaultParagraphFont"/>
    <w:link w:val="Heading6"/>
    <w:uiPriority w:val="9"/>
    <w:semiHidden/>
    <w:rsid w:val="000944CC"/>
    <w:rPr>
      <w:b/>
      <w:sz w:val="20"/>
      <w:szCs w:val="20"/>
    </w:rPr>
  </w:style>
  <w:style w:type="character" w:customStyle="1" w:styleId="Heading7Char">
    <w:name w:val="Heading 7 Char"/>
    <w:basedOn w:val="DefaultParagraphFont"/>
    <w:link w:val="Heading7"/>
    <w:uiPriority w:val="9"/>
    <w:semiHidden/>
    <w:rsid w:val="000944CC"/>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0944CC"/>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0944CC"/>
    <w:rPr>
      <w:rFonts w:asciiTheme="minorHAnsi" w:eastAsiaTheme="majorEastAsia" w:hAnsiTheme="minorHAnsi" w:cstheme="majorBidi"/>
      <w:color w:val="272727" w:themeColor="text1" w:themeTint="D8"/>
      <w:kern w:val="2"/>
      <w14:ligatures w14:val="standardContextual"/>
    </w:rPr>
  </w:style>
  <w:style w:type="paragraph" w:styleId="Caption">
    <w:name w:val="caption"/>
    <w:basedOn w:val="Normal"/>
    <w:next w:val="Normal"/>
    <w:uiPriority w:val="35"/>
    <w:unhideWhenUsed/>
    <w:qFormat/>
    <w:rsid w:val="000944CC"/>
    <w:pPr>
      <w:spacing w:after="200"/>
    </w:pPr>
    <w:rPr>
      <w:rFonts w:asciiTheme="minorHAnsi" w:hAnsiTheme="minorHAnsi" w:cstheme="minorBidi"/>
      <w:i/>
      <w:iCs/>
      <w:color w:val="44546A" w:themeColor="text2"/>
      <w:sz w:val="18"/>
      <w:szCs w:val="18"/>
    </w:rPr>
  </w:style>
  <w:style w:type="paragraph" w:styleId="Title">
    <w:name w:val="Title"/>
    <w:basedOn w:val="Normal"/>
    <w:next w:val="Normal"/>
    <w:link w:val="TitleChar"/>
    <w:uiPriority w:val="10"/>
    <w:qFormat/>
    <w:rsid w:val="000944CC"/>
    <w:pPr>
      <w:keepNext/>
      <w:keepLines/>
      <w:spacing w:before="480" w:after="120"/>
    </w:pPr>
    <w:rPr>
      <w:b/>
      <w:sz w:val="72"/>
      <w:szCs w:val="72"/>
    </w:rPr>
  </w:style>
  <w:style w:type="character" w:customStyle="1" w:styleId="TitleChar">
    <w:name w:val="Title Char"/>
    <w:basedOn w:val="DefaultParagraphFont"/>
    <w:link w:val="Title"/>
    <w:uiPriority w:val="10"/>
    <w:rsid w:val="000944CC"/>
    <w:rPr>
      <w:b/>
      <w:sz w:val="72"/>
      <w:szCs w:val="72"/>
    </w:rPr>
  </w:style>
  <w:style w:type="paragraph" w:styleId="Subtitle">
    <w:name w:val="Subtitle"/>
    <w:basedOn w:val="Normal"/>
    <w:next w:val="Normal"/>
    <w:link w:val="SubtitleChar"/>
    <w:uiPriority w:val="11"/>
    <w:qFormat/>
    <w:rsid w:val="000944C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944CC"/>
    <w:rPr>
      <w:rFonts w:ascii="Georgia" w:eastAsia="Georgia" w:hAnsi="Georgia" w:cs="Georgia"/>
      <w:i/>
      <w:color w:val="666666"/>
      <w:sz w:val="48"/>
      <w:szCs w:val="48"/>
    </w:rPr>
  </w:style>
  <w:style w:type="character" w:styleId="Strong">
    <w:name w:val="Strong"/>
    <w:basedOn w:val="DefaultParagraphFont"/>
    <w:uiPriority w:val="22"/>
    <w:qFormat/>
    <w:rsid w:val="000944CC"/>
    <w:rPr>
      <w:b/>
      <w:bCs/>
    </w:rPr>
  </w:style>
  <w:style w:type="character" w:styleId="Emphasis">
    <w:name w:val="Emphasis"/>
    <w:basedOn w:val="DefaultParagraphFont"/>
    <w:uiPriority w:val="20"/>
    <w:qFormat/>
    <w:rsid w:val="000944CC"/>
    <w:rPr>
      <w:i/>
      <w:iCs/>
    </w:rPr>
  </w:style>
  <w:style w:type="paragraph" w:styleId="NoSpacing">
    <w:name w:val="No Spacing"/>
    <w:uiPriority w:val="1"/>
    <w:qFormat/>
    <w:rsid w:val="000944CC"/>
    <w:rPr>
      <w:sz w:val="22"/>
      <w:szCs w:val="22"/>
    </w:rPr>
  </w:style>
  <w:style w:type="paragraph" w:styleId="ListParagraph">
    <w:name w:val="List Paragraph"/>
    <w:basedOn w:val="Normal"/>
    <w:uiPriority w:val="34"/>
    <w:qFormat/>
    <w:rsid w:val="000944CC"/>
    <w:pPr>
      <w:ind w:left="720"/>
      <w:contextualSpacing/>
    </w:pPr>
  </w:style>
  <w:style w:type="paragraph" w:styleId="Quote">
    <w:name w:val="Quote"/>
    <w:basedOn w:val="Normal"/>
    <w:next w:val="Normal"/>
    <w:link w:val="QuoteChar"/>
    <w:uiPriority w:val="29"/>
    <w:qFormat/>
    <w:rsid w:val="000944CC"/>
    <w:pPr>
      <w:spacing w:before="160" w:after="160"/>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944CC"/>
    <w:rPr>
      <w:rFonts w:asciiTheme="minorHAnsi" w:eastAsiaTheme="minorHAnsi" w:hAnsiTheme="minorHAnsi" w:cstheme="minorBidi"/>
      <w:i/>
      <w:iCs/>
      <w:color w:val="404040" w:themeColor="text1" w:themeTint="BF"/>
      <w:kern w:val="2"/>
      <w14:ligatures w14:val="standardContextual"/>
    </w:rPr>
  </w:style>
  <w:style w:type="paragraph" w:styleId="IntenseQuote">
    <w:name w:val="Intense Quote"/>
    <w:basedOn w:val="Normal"/>
    <w:next w:val="Normal"/>
    <w:link w:val="IntenseQuoteChar"/>
    <w:uiPriority w:val="30"/>
    <w:qFormat/>
    <w:rsid w:val="000944CC"/>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944CC"/>
    <w:rPr>
      <w:rFonts w:asciiTheme="minorHAnsi" w:eastAsiaTheme="minorHAnsi" w:hAnsiTheme="minorHAnsi" w:cstheme="minorBidi"/>
      <w:i/>
      <w:iCs/>
      <w:color w:val="2F5496" w:themeColor="accent1" w:themeShade="BF"/>
      <w:kern w:val="2"/>
      <w14:ligatures w14:val="standardContextual"/>
    </w:rPr>
  </w:style>
  <w:style w:type="character" w:styleId="IntenseEmphasis">
    <w:name w:val="Intense Emphasis"/>
    <w:basedOn w:val="DefaultParagraphFont"/>
    <w:uiPriority w:val="21"/>
    <w:qFormat/>
    <w:rsid w:val="000944CC"/>
    <w:rPr>
      <w:i/>
      <w:iCs/>
      <w:color w:val="2F5496" w:themeColor="accent1" w:themeShade="BF"/>
    </w:rPr>
  </w:style>
  <w:style w:type="character" w:styleId="IntenseReference">
    <w:name w:val="Intense Reference"/>
    <w:basedOn w:val="DefaultParagraphFont"/>
    <w:uiPriority w:val="32"/>
    <w:qFormat/>
    <w:rsid w:val="000944CC"/>
    <w:rPr>
      <w:b/>
      <w:bCs/>
      <w:smallCaps/>
      <w:color w:val="2F5496" w:themeColor="accent1" w:themeShade="BF"/>
      <w:spacing w:val="5"/>
    </w:rPr>
  </w:style>
  <w:style w:type="paragraph" w:styleId="BodyText">
    <w:name w:val="Body Text"/>
    <w:basedOn w:val="Normal"/>
    <w:link w:val="BodyTextChar"/>
    <w:uiPriority w:val="1"/>
    <w:qFormat/>
    <w:rsid w:val="004321E4"/>
    <w:rPr>
      <w:sz w:val="24"/>
      <w:szCs w:val="24"/>
    </w:rPr>
  </w:style>
  <w:style w:type="character" w:customStyle="1" w:styleId="BodyTextChar">
    <w:name w:val="Body Text Char"/>
    <w:basedOn w:val="DefaultParagraphFont"/>
    <w:link w:val="BodyText"/>
    <w:uiPriority w:val="1"/>
    <w:rsid w:val="004321E4"/>
    <w:rPr>
      <w:rFonts w:ascii="Cambria" w:eastAsia="Cambria" w:hAnsi="Cambria" w:cs="Cambria"/>
    </w:rPr>
  </w:style>
  <w:style w:type="paragraph" w:styleId="FootnoteText">
    <w:name w:val="footnote text"/>
    <w:basedOn w:val="Normal"/>
    <w:link w:val="FootnoteTextChar"/>
    <w:uiPriority w:val="99"/>
    <w:semiHidden/>
    <w:unhideWhenUsed/>
    <w:rsid w:val="009070AE"/>
    <w:rPr>
      <w:sz w:val="20"/>
      <w:szCs w:val="20"/>
    </w:rPr>
  </w:style>
  <w:style w:type="character" w:customStyle="1" w:styleId="FootnoteTextChar">
    <w:name w:val="Footnote Text Char"/>
    <w:basedOn w:val="DefaultParagraphFont"/>
    <w:link w:val="FootnoteText"/>
    <w:uiPriority w:val="99"/>
    <w:semiHidden/>
    <w:rsid w:val="009070AE"/>
    <w:rPr>
      <w:rFonts w:ascii="Cambria" w:eastAsia="Cambria" w:hAnsi="Cambria" w:cs="Cambria"/>
      <w:sz w:val="20"/>
      <w:szCs w:val="20"/>
    </w:rPr>
  </w:style>
  <w:style w:type="character" w:styleId="FootnoteReference">
    <w:name w:val="footnote reference"/>
    <w:basedOn w:val="DefaultParagraphFont"/>
    <w:uiPriority w:val="99"/>
    <w:semiHidden/>
    <w:unhideWhenUsed/>
    <w:rsid w:val="009070AE"/>
    <w:rPr>
      <w:vertAlign w:val="superscript"/>
    </w:rPr>
  </w:style>
  <w:style w:type="character" w:styleId="Hyperlink">
    <w:name w:val="Hyperlink"/>
    <w:basedOn w:val="DefaultParagraphFont"/>
    <w:uiPriority w:val="99"/>
    <w:unhideWhenUsed/>
    <w:rsid w:val="0079127E"/>
    <w:rPr>
      <w:color w:val="0563C1" w:themeColor="hyperlink"/>
      <w:u w:val="single"/>
    </w:rPr>
  </w:style>
  <w:style w:type="character" w:styleId="UnresolvedMention">
    <w:name w:val="Unresolved Mention"/>
    <w:basedOn w:val="DefaultParagraphFont"/>
    <w:uiPriority w:val="99"/>
    <w:semiHidden/>
    <w:unhideWhenUsed/>
    <w:rsid w:val="0079127E"/>
    <w:rPr>
      <w:color w:val="605E5C"/>
      <w:shd w:val="clear" w:color="auto" w:fill="E1DFDD"/>
    </w:rPr>
  </w:style>
  <w:style w:type="character" w:styleId="FollowedHyperlink">
    <w:name w:val="FollowedHyperlink"/>
    <w:basedOn w:val="DefaultParagraphFont"/>
    <w:uiPriority w:val="99"/>
    <w:semiHidden/>
    <w:unhideWhenUsed/>
    <w:rsid w:val="00822DFB"/>
    <w:rPr>
      <w:color w:val="954F72" w:themeColor="followedHyperlink"/>
      <w:u w:val="single"/>
    </w:rPr>
  </w:style>
  <w:style w:type="paragraph" w:styleId="Header">
    <w:name w:val="header"/>
    <w:basedOn w:val="Normal"/>
    <w:link w:val="HeaderChar"/>
    <w:uiPriority w:val="99"/>
    <w:unhideWhenUsed/>
    <w:rsid w:val="001335A1"/>
    <w:pPr>
      <w:tabs>
        <w:tab w:val="center" w:pos="4680"/>
        <w:tab w:val="right" w:pos="9360"/>
      </w:tabs>
    </w:pPr>
  </w:style>
  <w:style w:type="character" w:customStyle="1" w:styleId="HeaderChar">
    <w:name w:val="Header Char"/>
    <w:basedOn w:val="DefaultParagraphFont"/>
    <w:link w:val="Header"/>
    <w:uiPriority w:val="99"/>
    <w:rsid w:val="001335A1"/>
    <w:rPr>
      <w:rFonts w:ascii="Cambria" w:eastAsia="Cambria" w:hAnsi="Cambria" w:cs="Cambria"/>
      <w:sz w:val="22"/>
      <w:szCs w:val="22"/>
    </w:rPr>
  </w:style>
  <w:style w:type="paragraph" w:styleId="Footer">
    <w:name w:val="footer"/>
    <w:basedOn w:val="Normal"/>
    <w:link w:val="FooterChar"/>
    <w:uiPriority w:val="99"/>
    <w:unhideWhenUsed/>
    <w:rsid w:val="001335A1"/>
    <w:pPr>
      <w:tabs>
        <w:tab w:val="center" w:pos="4680"/>
        <w:tab w:val="right" w:pos="9360"/>
      </w:tabs>
    </w:pPr>
  </w:style>
  <w:style w:type="character" w:customStyle="1" w:styleId="FooterChar">
    <w:name w:val="Footer Char"/>
    <w:basedOn w:val="DefaultParagraphFont"/>
    <w:link w:val="Footer"/>
    <w:uiPriority w:val="99"/>
    <w:rsid w:val="001335A1"/>
    <w:rPr>
      <w:rFonts w:ascii="Cambria" w:eastAsia="Cambria" w:hAnsi="Cambria" w:cs="Cambria"/>
      <w:sz w:val="22"/>
      <w:szCs w:val="22"/>
    </w:rPr>
  </w:style>
  <w:style w:type="character" w:styleId="PageNumber">
    <w:name w:val="page number"/>
    <w:basedOn w:val="DefaultParagraphFont"/>
    <w:uiPriority w:val="99"/>
    <w:semiHidden/>
    <w:unhideWhenUsed/>
    <w:rsid w:val="00133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6" Type="http://schemas.openxmlformats.org/officeDocument/2006/relationships/hyperlink" Target="http://www.sfn.org/about" TargetMode="External"/><Relationship Id="rId21" Type="http://schemas.openxmlformats.org/officeDocument/2006/relationships/hyperlink" Target="https://doi.org/10.1207/s15327957pspr0203_4" TargetMode="External"/><Relationship Id="rId42" Type="http://schemas.openxmlformats.org/officeDocument/2006/relationships/hyperlink" Target="https://www.madinamerica.com/2018/05/people-think-research-credible-includes-extraneous-brain-images-mia/" TargetMode="External"/><Relationship Id="rId47" Type="http://schemas.openxmlformats.org/officeDocument/2006/relationships/hyperlink" Target="https://doi.org/10.3758/s13423-013-0391-6" TargetMode="External"/><Relationship Id="rId63" Type="http://schemas.openxmlformats.org/officeDocument/2006/relationships/hyperlink" Target="http://www.mdedge.com/psychiatry/article/" TargetMode="External"/><Relationship Id="rId68" Type="http://schemas.openxmlformats.org/officeDocument/2006/relationships/hyperlink" Target="http://boards.medscape.com/forums/?128%40%40.2a37df02!" TargetMode="External"/><Relationship Id="rId84" Type="http://schemas.openxmlformats.org/officeDocument/2006/relationships/hyperlink" Target="https://www.psychiatrictimes.com/view/ten-" TargetMode="External"/><Relationship Id="rId89" Type="http://schemas.openxmlformats.org/officeDocument/2006/relationships/hyperlink" Target="http://www.mdedge.com/psychiatry/article/" TargetMode="External"/><Relationship Id="rId112" Type="http://schemas.openxmlformats.org/officeDocument/2006/relationships/hyperlink" Target="https://doi.org/10.1001/archpsyc.60.5.497" TargetMode="External"/><Relationship Id="rId16" Type="http://schemas.openxmlformats.org/officeDocument/2006/relationships/hyperlink" Target="https://doi.org/10.1037/h0045186" TargetMode="External"/><Relationship Id="rId107" Type="http://schemas.openxmlformats.org/officeDocument/2006/relationships/hyperlink" Target="https://www.ncbi.nlm.nih.gov/pmc/articles/PMC5991813/" TargetMode="External"/><Relationship Id="rId11" Type="http://schemas.openxmlformats.org/officeDocument/2006/relationships/hyperlink" Target="https://doi.org/10.1126/sciadv.abd1705" TargetMode="External"/><Relationship Id="rId32" Type="http://schemas.openxmlformats.org/officeDocument/2006/relationships/hyperlink" Target="https://doi/" TargetMode="External"/><Relationship Id="rId37" Type="http://schemas.openxmlformats.org/officeDocument/2006/relationships/hyperlink" Target="https://doi/" TargetMode="External"/><Relationship Id="rId53" Type="http://schemas.openxmlformats.org/officeDocument/2006/relationships/hyperlink" Target="https://retractionwatch.com/retraction-watch-database-user-guide/retraction-watch-database-user-guide-appendix-" TargetMode="External"/><Relationship Id="rId58" Type="http://schemas.openxmlformats.org/officeDocument/2006/relationships/hyperlink" Target="https://collections.nlm.nih.gov/" TargetMode="External"/><Relationship Id="rId74" Type="http://schemas.openxmlformats.org/officeDocument/2006/relationships/hyperlink" Target="http://www.nimh.nih.gov/about/director/2013/" TargetMode="External"/><Relationship Id="rId79" Type="http://schemas.openxmlformats.org/officeDocument/2006/relationships/hyperlink" Target="https://evolutionnews.org/2021/04/how-materialism-proves-unbounded-scientific-" TargetMode="External"/><Relationship Id="rId102" Type="http://schemas.openxmlformats.org/officeDocument/2006/relationships/hyperlink" Target="https://doi.org/10.1126/scitranslmed.3006175" TargetMode="External"/><Relationship Id="rId5" Type="http://schemas.openxmlformats.org/officeDocument/2006/relationships/hyperlink" Target="https://doi/" TargetMode="External"/><Relationship Id="rId90" Type="http://schemas.openxmlformats.org/officeDocument/2006/relationships/hyperlink" Target="https://www.psychiatrictimes.com/view/demons-dybbuks-and-other-psychic-maladies?utm_source=sfmc&amp;utm_" TargetMode="External"/><Relationship Id="rId95" Type="http://schemas.openxmlformats.org/officeDocument/2006/relationships/hyperlink" Target="https://doi.org/10.1177%2F0957154X9200301208" TargetMode="External"/><Relationship Id="rId22" Type="http://schemas.openxmlformats.org/officeDocument/2006/relationships/hyperlink" Target="https://doi/" TargetMode="External"/><Relationship Id="rId27" Type="http://schemas.openxmlformats.org/officeDocument/2006/relationships/hyperlink" Target="https://neurologism.com/2013/09/09/pentagon-of-neuro/" TargetMode="External"/><Relationship Id="rId43" Type="http://schemas.openxmlformats.org/officeDocument/2006/relationships/hyperlink" Target="https://doi.org/10.3758/s13423-013-0457-5" TargetMode="External"/><Relationship Id="rId48" Type="http://schemas.openxmlformats.org/officeDocument/2006/relationships/hyperlink" Target="https://doi.org/10.1016/j.cognition.2013.08.009" TargetMode="External"/><Relationship Id="rId64" Type="http://schemas.openxmlformats.org/officeDocument/2006/relationships/hyperlink" Target="https://www.psychiatrictimes.com/view/psychiatry-social-construction-" TargetMode="External"/><Relationship Id="rId69" Type="http://schemas.openxmlformats.org/officeDocument/2006/relationships/hyperlink" Target="https://doi.org/10.1093/jmp/jhaa022" TargetMode="External"/><Relationship Id="rId113" Type="http://schemas.openxmlformats.org/officeDocument/2006/relationships/hyperlink" Target="https://doi.org/10.1001/" TargetMode="External"/><Relationship Id="rId80" Type="http://schemas.openxmlformats.org/officeDocument/2006/relationships/hyperlink" Target="https://www.psychiatrictimes.com/view/psychiatry-long-view" TargetMode="External"/><Relationship Id="rId85" Type="http://schemas.openxmlformats.org/officeDocument/2006/relationships/hyperlink" Target="https://www.psychiatrictimes.com/view/ten-critical-conversations-evaluate-" TargetMode="External"/><Relationship Id="rId12" Type="http://schemas.openxmlformats.org/officeDocument/2006/relationships/hyperlink" Target="https://psychcentral.com/blog/psychology-secrets-most-psychology-studies-are-college-student-biased/" TargetMode="External"/><Relationship Id="rId17" Type="http://schemas.openxmlformats.org/officeDocument/2006/relationships/hyperlink" Target="https://doi.org/10.1037/0033-2909.105.2.309" TargetMode="External"/><Relationship Id="rId33" Type="http://schemas.openxmlformats.org/officeDocument/2006/relationships/hyperlink" Target="https://whyy.org/segments/scientists-used-fmri-to-study-brain-activity-for-" TargetMode="External"/><Relationship Id="rId38" Type="http://schemas.openxmlformats.org/officeDocument/2006/relationships/hyperlink" Target="https://doi.org/10.1016/j.neuroimage.2012.07.004" TargetMode="External"/><Relationship Id="rId59" Type="http://schemas.openxmlformats.org/officeDocument/2006/relationships/hyperlink" Target="https://founders.archives.gov/" TargetMode="External"/><Relationship Id="rId103" Type="http://schemas.openxmlformats.org/officeDocument/2006/relationships/hyperlink" Target="https://doi.org/10.1007/s11920-011-0235-x" TargetMode="External"/><Relationship Id="rId108" Type="http://schemas.openxmlformats.org/officeDocument/2006/relationships/hyperlink" Target="https://doi.org/10.1056/nejme2102835" TargetMode="External"/><Relationship Id="rId54" Type="http://schemas.openxmlformats.org/officeDocument/2006/relationships/hyperlink" Target="https://en.wikipedia.org/wiki/Wizard_of_Oz_(character)." TargetMode="External"/><Relationship Id="rId70" Type="http://schemas.openxmlformats.org/officeDocument/2006/relationships/hyperlink" Target="https://doi.org/10.1037/11321-003" TargetMode="External"/><Relationship Id="rId75" Type="http://schemas.openxmlformats.org/officeDocument/2006/relationships/hyperlink" Target="https://www.madinamerica.com/2021/05/mental-health-liberation-spirituality/?fbclid=IwAR2DEh5rnDhs6c" TargetMode="External"/><Relationship Id="rId91" Type="http://schemas.openxmlformats.org/officeDocument/2006/relationships/hyperlink" Target="https://www.medscape.com/viewarticle/946727?src=WNL_mdpls_210305_mscpedit_" TargetMode="External"/><Relationship Id="rId96" Type="http://schemas.openxmlformats.org/officeDocument/2006/relationships/hyperlink" Target="https://www.nami.org/" TargetMode="External"/><Relationship Id="rId1" Type="http://schemas.openxmlformats.org/officeDocument/2006/relationships/hyperlink" Target="http://www.madinamerica.com/2016/05/making-the-case-against-antidepressants-in-parliament/" TargetMode="External"/><Relationship Id="rId6" Type="http://schemas.openxmlformats.org/officeDocument/2006/relationships/hyperlink" Target="http://www.cos.io/initiatives/registered-reports" TargetMode="External"/><Relationship Id="rId15" Type="http://schemas.openxmlformats.org/officeDocument/2006/relationships/hyperlink" Target="https://www.statistics.com/glossary/effect-size/" TargetMode="External"/><Relationship Id="rId23" Type="http://schemas.openxmlformats.org/officeDocument/2006/relationships/hyperlink" Target="https://doi.org/10.1016/j.jclinepi.2014.07.002" TargetMode="External"/><Relationship Id="rId28" Type="http://schemas.openxmlformats.org/officeDocument/2006/relationships/hyperlink" Target="https://doi.org/10.13140/RG.2.1.2688.4324" TargetMode="External"/><Relationship Id="rId36" Type="http://schemas.openxmlformats.org/officeDocument/2006/relationships/hyperlink" Target="https://doi/" TargetMode="External"/><Relationship Id="rId49" Type="http://schemas.openxmlformats.org/officeDocument/2006/relationships/hyperlink" Target="https://doi.org/10.1016/j" TargetMode="External"/><Relationship Id="rId57" Type="http://schemas.openxmlformats.org/officeDocument/2006/relationships/hyperlink" Target="https://www.psychiatrictimes.com/" TargetMode="External"/><Relationship Id="rId106" Type="http://schemas.openxmlformats.org/officeDocument/2006/relationships/hyperlink" Target="https://doi.org/10.1016/" TargetMode="External"/><Relationship Id="rId114" Type="http://schemas.openxmlformats.org/officeDocument/2006/relationships/hyperlink" Target="https://www.hrw.org/news/2019/11/27/ghana-faith-healers-defy-ban-" TargetMode="External"/><Relationship Id="rId10" Type="http://schemas.openxmlformats.org/officeDocument/2006/relationships/hyperlink" Target="https://doi.org/10.1038/d41586-018-07474-y" TargetMode="External"/><Relationship Id="rId31" Type="http://schemas.openxmlformats.org/officeDocument/2006/relationships/hyperlink" Target="https://doi.org/10.1371/journal.pone.0038234" TargetMode="External"/><Relationship Id="rId44" Type="http://schemas.openxmlformats.org/officeDocument/2006/relationships/hyperlink" Target="https://doi.org/10.1162/" TargetMode="External"/><Relationship Id="rId52" Type="http://schemas.openxmlformats.org/officeDocument/2006/relationships/hyperlink" Target="https://retractionwatch.com/" TargetMode="External"/><Relationship Id="rId60" Type="http://schemas.openxmlformats.org/officeDocument/2006/relationships/hyperlink" Target="https://doi.org/10.1176/appi.ajp.2015.15050665)" TargetMode="External"/><Relationship Id="rId65" Type="http://schemas.openxmlformats.org/officeDocument/2006/relationships/hyperlink" Target="https://www.psychiatrictimes.com/view/what-kind-of-science-is-psychiatry-" TargetMode="External"/><Relationship Id="rId73" Type="http://schemas.openxmlformats.org/officeDocument/2006/relationships/hyperlink" Target="https://www/" TargetMode="External"/><Relationship Id="rId78" Type="http://schemas.openxmlformats.org/officeDocument/2006/relationships/hyperlink" Target="https://doi.org/10.1176/" TargetMode="External"/><Relationship Id="rId81" Type="http://schemas.openxmlformats.org/officeDocument/2006/relationships/hyperlink" Target="https://www/" TargetMode="External"/><Relationship Id="rId86" Type="http://schemas.openxmlformats.org/officeDocument/2006/relationships/hyperlink" Target="https://www/" TargetMode="External"/><Relationship Id="rId94" Type="http://schemas.openxmlformats.org/officeDocument/2006/relationships/hyperlink" Target="https://doi.org/10.3389/fpsyt.2020" TargetMode="External"/><Relationship Id="rId99" Type="http://schemas.openxmlformats.org/officeDocument/2006/relationships/hyperlink" Target="https://doi.org/10.1056/nejmcp1307215" TargetMode="External"/><Relationship Id="rId101" Type="http://schemas.openxmlformats.org/officeDocument/2006/relationships/hyperlink" Target="https://doi.org/10.2147/nedt.2007.3.issue-2" TargetMode="External"/><Relationship Id="rId4" Type="http://schemas.openxmlformats.org/officeDocument/2006/relationships/hyperlink" Target="https://www.aier.org/article/science-is-more-complex-than-advertised/" TargetMode="External"/><Relationship Id="rId9" Type="http://schemas.openxmlformats.org/officeDocument/2006/relationships/hyperlink" Target="https://doi/" TargetMode="External"/><Relationship Id="rId13" Type="http://schemas.openxmlformats.org/officeDocument/2006/relationships/hyperlink" Target="https://doi.org/10.1017/S0140525X0999152X" TargetMode="External"/><Relationship Id="rId18" Type="http://schemas.openxmlformats.org/officeDocument/2006/relationships/hyperlink" Target="https://doi.org/10.1076/jcen.23.3.399.1181" TargetMode="External"/><Relationship Id="rId39" Type="http://schemas.openxmlformats.org/officeDocument/2006/relationships/hyperlink" Target="https://doi.org/10.1007/s12021-011-9125-y" TargetMode="External"/><Relationship Id="rId109" Type="http://schemas.openxmlformats.org/officeDocument/2006/relationships/hyperlink" Target="https://doi.org/10.1001/jamapsychiatry.2020.2171" TargetMode="External"/><Relationship Id="rId34" Type="http://schemas.openxmlformats.org/officeDocument/2006/relationships/hyperlink" Target="https://do0i/" TargetMode="External"/><Relationship Id="rId50" Type="http://schemas.openxmlformats.org/officeDocument/2006/relationships/hyperlink" Target="https://arxiv.org/abs/1812.03363" TargetMode="External"/><Relationship Id="rId55" Type="http://schemas.openxmlformats.org/officeDocument/2006/relationships/hyperlink" Target="https://www.merriam-webster.com/dictionary/myth" TargetMode="External"/><Relationship Id="rId76" Type="http://schemas.openxmlformats.org/officeDocument/2006/relationships/hyperlink" Target="https://www.npr.org/2020/09/21/915224016/neurologist-oliver-sacks-on-the-hallucination-that-saved-his-life" TargetMode="External"/><Relationship Id="rId97" Type="http://schemas.openxmlformats.org/officeDocument/2006/relationships/hyperlink" Target="https://doi.org/10.1056/nejmp1202555" TargetMode="External"/><Relationship Id="rId104" Type="http://schemas.openxmlformats.org/officeDocument/2006/relationships/hyperlink" Target="https://doi.org/10.1016/j.euroneuro.2008.06.003." TargetMode="External"/><Relationship Id="rId7" Type="http://schemas.openxmlformats.org/officeDocument/2006/relationships/hyperlink" Target="https://dictionary.apa.org/confirmation-bias" TargetMode="External"/><Relationship Id="rId71" Type="http://schemas.openxmlformats.org/officeDocument/2006/relationships/hyperlink" Target="http://www.nimh.nih.gov/health/" TargetMode="External"/><Relationship Id="rId92" Type="http://schemas.openxmlformats.org/officeDocument/2006/relationships/hyperlink" Target="http://dx.doi.org/" TargetMode="External"/><Relationship Id="rId2" Type="http://schemas.openxmlformats.org/officeDocument/2006/relationships/hyperlink" Target="https://doi.org/10.1371/journal.pone.0010068" TargetMode="External"/><Relationship Id="rId29" Type="http://schemas.openxmlformats.org/officeDocument/2006/relationships/hyperlink" Target="https://www.untdprimepub.com/journal-" TargetMode="External"/><Relationship Id="rId24" Type="http://schemas.openxmlformats.org/officeDocument/2006/relationships/hyperlink" Target="http://www.cchrint.org/issues/the-corrupt-alliance-of-the-psychiatric-pharmaceutical-industry/" TargetMode="External"/><Relationship Id="rId40" Type="http://schemas.openxmlformats.org/officeDocument/2006/relationships/hyperlink" Target="https://doi.org/10.1371/journal.pone.0200562" TargetMode="External"/><Relationship Id="rId45" Type="http://schemas.openxmlformats.org/officeDocument/2006/relationships/hyperlink" Target="https://doi.org/10.1037/a0036844" TargetMode="External"/><Relationship Id="rId66" Type="http://schemas.openxmlformats.org/officeDocument/2006/relationships/hyperlink" Target="https://www.psychiatrictimes.com/view/5-minute-" TargetMode="External"/><Relationship Id="rId87" Type="http://schemas.openxmlformats.org/officeDocument/2006/relationships/hyperlink" Target="http://www.nimh.nih.gov/health/" TargetMode="External"/><Relationship Id="rId110" Type="http://schemas.openxmlformats.org/officeDocument/2006/relationships/hyperlink" Target="https://doi.org/10.1056/nejmoa1815981" TargetMode="External"/><Relationship Id="rId61" Type="http://schemas.openxmlformats.org/officeDocument/2006/relationships/hyperlink" Target="https://www.apadivisions.org/" TargetMode="External"/><Relationship Id="rId82" Type="http://schemas.openxmlformats.org/officeDocument/2006/relationships/hyperlink" Target="https://www.psychiatrictimes.com/view/global-psychiatry-crisis-values" TargetMode="External"/><Relationship Id="rId19" Type="http://schemas.openxmlformats.org/officeDocument/2006/relationships/hyperlink" Target="https://doi.org/10.1177/0956797611417632" TargetMode="External"/><Relationship Id="rId14" Type="http://schemas.openxmlformats.org/officeDocument/2006/relationships/hyperlink" Target="https://www/" TargetMode="External"/><Relationship Id="rId30" Type="http://schemas.openxmlformats.org/officeDocument/2006/relationships/hyperlink" Target="https://mindmatters.ai/2021/04/no-fmri-brain-scans-are-not-reading-our-minds/" TargetMode="External"/><Relationship Id="rId35" Type="http://schemas.openxmlformats.org/officeDocument/2006/relationships/hyperlink" Target="https://doi.org/10.1101/059188" TargetMode="External"/><Relationship Id="rId56" Type="http://schemas.openxmlformats.org/officeDocument/2006/relationships/hyperlink" Target="https://www/" TargetMode="External"/><Relationship Id="rId77" Type="http://schemas.openxmlformats.org/officeDocument/2006/relationships/hyperlink" Target="https://doi.org/10.1016/j.bionps.2021.100031" TargetMode="External"/><Relationship Id="rId100" Type="http://schemas.openxmlformats.org/officeDocument/2006/relationships/hyperlink" Target="https://www.bbc.com/culture/" TargetMode="External"/><Relationship Id="rId105" Type="http://schemas.openxmlformats.org/officeDocument/2006/relationships/hyperlink" Target="https://doi/" TargetMode="External"/><Relationship Id="rId8" Type="http://schemas.openxmlformats.org/officeDocument/2006/relationships/hyperlink" Target="https://www.statistics.com/glossary/replication/" TargetMode="External"/><Relationship Id="rId51" Type="http://schemas.openxmlformats.org/officeDocument/2006/relationships/hyperlink" Target="https://phys/" TargetMode="External"/><Relationship Id="rId72" Type="http://schemas.openxmlformats.org/officeDocument/2006/relationships/hyperlink" Target="https://www.medscape.com/viewarticle/897877" TargetMode="External"/><Relationship Id="rId93" Type="http://schemas.openxmlformats.org/officeDocument/2006/relationships/hyperlink" Target="https://doi.org/10.1176/appi" TargetMode="External"/><Relationship Id="rId98" Type="http://schemas.openxmlformats.org/officeDocument/2006/relationships/hyperlink" Target="https://doi.org/10.1056/nejmp1311047" TargetMode="External"/><Relationship Id="rId3" Type="http://schemas.openxmlformats.org/officeDocument/2006/relationships/hyperlink" Target="https://dictionary.apa.org/psychometrics" TargetMode="External"/><Relationship Id="rId25" Type="http://schemas.openxmlformats.org/officeDocument/2006/relationships/hyperlink" Target="https://doi.org/10.1136/bmj.g7015" TargetMode="External"/><Relationship Id="rId46" Type="http://schemas.openxmlformats.org/officeDocument/2006/relationships/hyperlink" Target="https://doi.org/10.1162/" TargetMode="External"/><Relationship Id="rId67" Type="http://schemas.openxmlformats.org/officeDocument/2006/relationships/hyperlink" Target="https://doi.org/10.1159/000502266" TargetMode="External"/><Relationship Id="rId20" Type="http://schemas.openxmlformats.org/officeDocument/2006/relationships/hyperlink" Target="https://doi/" TargetMode="External"/><Relationship Id="rId41" Type="http://schemas.openxmlformats.org/officeDocument/2006/relationships/hyperlink" Target="https://doi.org/10.1162/jocn.2008.20040" TargetMode="External"/><Relationship Id="rId62" Type="http://schemas.openxmlformats.org/officeDocument/2006/relationships/hyperlink" Target="https://www.medscape.com/viewarticle/917451?nlid" TargetMode="External"/><Relationship Id="rId83" Type="http://schemas.openxmlformats.org/officeDocument/2006/relationships/hyperlink" Target="http://www.criticalpsychiatry.co.uk/news/why-i-dont-like-the-idea-that-mental-disorder-is-a-" TargetMode="External"/><Relationship Id="rId88" Type="http://schemas.openxmlformats.org/officeDocument/2006/relationships/hyperlink" Target="https://www.etymonline.com/word/feel" TargetMode="External"/><Relationship Id="rId111" Type="http://schemas.openxmlformats.org/officeDocument/2006/relationships/hyperlink" Target="https://doi.org/10.1080/14656566.2018.1"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104</Pages>
  <Words>28893</Words>
  <Characters>181164</Characters>
  <Application>Microsoft Office Word</Application>
  <DocSecurity>0</DocSecurity>
  <Lines>22645</Lines>
  <Paragraphs>7502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Francine Tan</dc:creator>
  <cp:keywords/>
  <dc:description/>
  <cp:lastModifiedBy>Francine Tan</cp:lastModifiedBy>
  <cp:revision>151</cp:revision>
  <dcterms:created xsi:type="dcterms:W3CDTF">2026-03-02T17:33:00Z</dcterms:created>
  <dcterms:modified xsi:type="dcterms:W3CDTF">2026-03-03T19:09:00Z</dcterms:modified>
</cp:coreProperties>
</file>